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E1E3" w14:textId="77777777" w:rsidR="004C1A42" w:rsidRPr="00EB6EAA" w:rsidRDefault="004C1A42" w:rsidP="009F08D6">
      <w:pPr>
        <w:pStyle w:val="EMList1"/>
        <w:numPr>
          <w:ilvl w:val="0"/>
          <w:numId w:val="2"/>
        </w:numPr>
      </w:pPr>
      <w:r w:rsidRPr="00EB6EAA">
        <w:t>Part 1 - General System information</w:t>
      </w:r>
    </w:p>
    <w:p w14:paraId="42C6C2B7" w14:textId="77777777" w:rsidR="004C1A42" w:rsidRPr="00EB6EAA" w:rsidRDefault="004C1A42" w:rsidP="009F08D6">
      <w:pPr>
        <w:pStyle w:val="EMList1"/>
        <w:numPr>
          <w:ilvl w:val="1"/>
          <w:numId w:val="2"/>
        </w:numPr>
      </w:pPr>
      <w:r w:rsidRPr="00EB6EAA">
        <w:t>Related Documents</w:t>
      </w:r>
    </w:p>
    <w:p w14:paraId="5E28CD0E" w14:textId="77777777" w:rsidR="004C1A42" w:rsidRPr="00EB6EAA" w:rsidRDefault="004C1A42" w:rsidP="009F08D6">
      <w:pPr>
        <w:pStyle w:val="EMList1"/>
        <w:numPr>
          <w:ilvl w:val="2"/>
          <w:numId w:val="2"/>
        </w:numPr>
      </w:pPr>
      <w:r w:rsidRPr="00EB6EAA">
        <w:t>Drawings and general provisions of the contract, including General and Supplementary Conditions and Division 01 Specifications Sections, apply to this section.</w:t>
      </w:r>
    </w:p>
    <w:p w14:paraId="5E4F8579" w14:textId="77777777" w:rsidR="004C1A42" w:rsidRPr="00EB6EAA" w:rsidRDefault="004C1A42" w:rsidP="009F08D6">
      <w:pPr>
        <w:pStyle w:val="EMList1"/>
        <w:numPr>
          <w:ilvl w:val="1"/>
          <w:numId w:val="2"/>
        </w:numPr>
      </w:pPr>
      <w:r w:rsidRPr="00EB6EAA">
        <w:t>Summary</w:t>
      </w:r>
    </w:p>
    <w:p w14:paraId="2BC068AC" w14:textId="77777777" w:rsidR="004C1A42" w:rsidRPr="00EB6EAA" w:rsidRDefault="004C1A42" w:rsidP="009F08D6">
      <w:pPr>
        <w:pStyle w:val="EMList1"/>
        <w:numPr>
          <w:ilvl w:val="2"/>
          <w:numId w:val="2"/>
        </w:numPr>
      </w:pPr>
      <w:r w:rsidRPr="00EB6EAA">
        <w:t>System specification shall include, at minimum, information on the specifics of the following components:</w:t>
      </w:r>
    </w:p>
    <w:p w14:paraId="0F7C4FAD" w14:textId="77777777" w:rsidR="004C1A42" w:rsidRPr="00EB6EAA" w:rsidRDefault="004C1A42" w:rsidP="009F08D6">
      <w:pPr>
        <w:pStyle w:val="EMList1"/>
        <w:numPr>
          <w:ilvl w:val="3"/>
          <w:numId w:val="2"/>
        </w:numPr>
      </w:pPr>
      <w:r w:rsidRPr="00EB6EAA">
        <w:t>Hybrid fire extinguishing systems</w:t>
      </w:r>
    </w:p>
    <w:p w14:paraId="2F095460" w14:textId="77777777" w:rsidR="004C1A42" w:rsidRPr="00EB6EAA" w:rsidRDefault="004C1A42" w:rsidP="009F08D6">
      <w:pPr>
        <w:pStyle w:val="EMList1"/>
        <w:numPr>
          <w:ilvl w:val="3"/>
          <w:numId w:val="2"/>
        </w:numPr>
      </w:pPr>
      <w:r w:rsidRPr="00EB6EAA">
        <w:t>Pipe and fittings</w:t>
      </w:r>
    </w:p>
    <w:p w14:paraId="13F6A704" w14:textId="77777777" w:rsidR="004C1A42" w:rsidRPr="00EB6EAA" w:rsidRDefault="004C1A42" w:rsidP="009F08D6">
      <w:pPr>
        <w:pStyle w:val="EMList1"/>
        <w:numPr>
          <w:ilvl w:val="3"/>
          <w:numId w:val="2"/>
        </w:numPr>
      </w:pPr>
      <w:r w:rsidRPr="00EB6EAA">
        <w:t>Vortex™ Panels</w:t>
      </w:r>
    </w:p>
    <w:p w14:paraId="78720A82" w14:textId="77777777" w:rsidR="004C1A42" w:rsidRPr="00EB6EAA" w:rsidRDefault="004C1A42" w:rsidP="009F08D6">
      <w:pPr>
        <w:pStyle w:val="EMList1"/>
        <w:numPr>
          <w:ilvl w:val="3"/>
          <w:numId w:val="2"/>
        </w:numPr>
      </w:pPr>
      <w:r w:rsidRPr="00EB6EAA">
        <w:t>Extinguishing Agent Containers</w:t>
      </w:r>
    </w:p>
    <w:p w14:paraId="4A0A170F" w14:textId="77777777" w:rsidR="004C1A42" w:rsidRPr="00EB6EAA" w:rsidRDefault="004C1A42" w:rsidP="009F08D6">
      <w:pPr>
        <w:pStyle w:val="EMList1"/>
        <w:numPr>
          <w:ilvl w:val="3"/>
          <w:numId w:val="2"/>
        </w:numPr>
      </w:pPr>
      <w:r w:rsidRPr="00EB6EAA">
        <w:t>Fire-extinguishing agent.</w:t>
      </w:r>
    </w:p>
    <w:p w14:paraId="002381C8" w14:textId="77777777" w:rsidR="004C1A42" w:rsidRPr="00EB6EAA" w:rsidRDefault="004C1A42" w:rsidP="009F08D6">
      <w:pPr>
        <w:pStyle w:val="EMList1"/>
        <w:numPr>
          <w:ilvl w:val="3"/>
          <w:numId w:val="2"/>
        </w:numPr>
      </w:pPr>
      <w:r w:rsidRPr="00EB6EAA">
        <w:t>Discharge Emitters.</w:t>
      </w:r>
    </w:p>
    <w:p w14:paraId="6D367546" w14:textId="77777777" w:rsidR="004C1A42" w:rsidRPr="00EB6EAA" w:rsidRDefault="004C1A42" w:rsidP="009F08D6">
      <w:pPr>
        <w:pStyle w:val="EMList1"/>
        <w:numPr>
          <w:ilvl w:val="3"/>
          <w:numId w:val="2"/>
        </w:numPr>
      </w:pPr>
      <w:r w:rsidRPr="00EB6EAA">
        <w:t>High Pressure Manifold/ Piping</w:t>
      </w:r>
    </w:p>
    <w:p w14:paraId="5D3DF14B" w14:textId="77777777" w:rsidR="004C1A42" w:rsidRPr="00EB6EAA" w:rsidRDefault="004C1A42" w:rsidP="009F08D6">
      <w:pPr>
        <w:pStyle w:val="EMList1"/>
        <w:numPr>
          <w:ilvl w:val="3"/>
          <w:numId w:val="2"/>
        </w:numPr>
      </w:pPr>
      <w:r w:rsidRPr="00EB6EAA">
        <w:t>Fire control panels.</w:t>
      </w:r>
    </w:p>
    <w:p w14:paraId="2C5EC402" w14:textId="77777777" w:rsidR="004C1A42" w:rsidRPr="00EB6EAA" w:rsidRDefault="004C1A42" w:rsidP="009F08D6">
      <w:pPr>
        <w:pStyle w:val="EMList1"/>
        <w:numPr>
          <w:ilvl w:val="3"/>
          <w:numId w:val="2"/>
        </w:numPr>
      </w:pPr>
      <w:r w:rsidRPr="00EB6EAA">
        <w:t>Detection devices.</w:t>
      </w:r>
    </w:p>
    <w:p w14:paraId="4A923A92" w14:textId="77777777" w:rsidR="004C1A42" w:rsidRPr="00EB6EAA" w:rsidRDefault="004C1A42" w:rsidP="009F08D6">
      <w:pPr>
        <w:pStyle w:val="EMList1"/>
        <w:numPr>
          <w:ilvl w:val="3"/>
          <w:numId w:val="2"/>
        </w:numPr>
      </w:pPr>
      <w:r w:rsidRPr="00EB6EAA">
        <w:t>System Manual Activation</w:t>
      </w:r>
    </w:p>
    <w:p w14:paraId="66DDD591" w14:textId="77777777" w:rsidR="004C1A42" w:rsidRPr="00EB6EAA" w:rsidRDefault="004C1A42" w:rsidP="009F08D6">
      <w:pPr>
        <w:pStyle w:val="EMList1"/>
        <w:numPr>
          <w:ilvl w:val="3"/>
          <w:numId w:val="2"/>
        </w:numPr>
      </w:pPr>
      <w:r w:rsidRPr="00EB6EAA">
        <w:t>Pressure Transducers.</w:t>
      </w:r>
    </w:p>
    <w:p w14:paraId="67571668" w14:textId="77777777" w:rsidR="004C1A42" w:rsidRPr="00EB6EAA" w:rsidRDefault="004C1A42" w:rsidP="009F08D6">
      <w:pPr>
        <w:pStyle w:val="EMList1"/>
        <w:numPr>
          <w:ilvl w:val="3"/>
          <w:numId w:val="2"/>
        </w:numPr>
      </w:pPr>
      <w:r w:rsidRPr="00EB6EAA">
        <w:t>Alarm devices.</w:t>
      </w:r>
    </w:p>
    <w:p w14:paraId="130381DB" w14:textId="77777777" w:rsidR="004C1A42" w:rsidRPr="00EB6EAA" w:rsidRDefault="004C1A42" w:rsidP="009F08D6">
      <w:pPr>
        <w:pStyle w:val="EMList1"/>
        <w:numPr>
          <w:ilvl w:val="1"/>
          <w:numId w:val="2"/>
        </w:numPr>
      </w:pPr>
      <w:r w:rsidRPr="00EB6EAA">
        <w:t>Definitions:</w:t>
      </w:r>
    </w:p>
    <w:p w14:paraId="08995B85" w14:textId="77777777" w:rsidR="004C1A42" w:rsidRPr="00EB6EAA" w:rsidRDefault="004C1A42" w:rsidP="009F08D6">
      <w:pPr>
        <w:pStyle w:val="EMList1"/>
        <w:numPr>
          <w:ilvl w:val="2"/>
          <w:numId w:val="2"/>
        </w:numPr>
      </w:pPr>
      <w:r w:rsidRPr="00EB6EAA">
        <w:t>ARV: Automatic Regulating Valve</w:t>
      </w:r>
    </w:p>
    <w:p w14:paraId="7E58B030" w14:textId="77777777" w:rsidR="004C1A42" w:rsidRPr="00EB6EAA" w:rsidRDefault="004C1A42" w:rsidP="009F08D6">
      <w:pPr>
        <w:pStyle w:val="EMList1"/>
        <w:numPr>
          <w:ilvl w:val="2"/>
          <w:numId w:val="2"/>
        </w:numPr>
      </w:pPr>
      <w:r w:rsidRPr="00EB6EAA">
        <w:t>EPO: Emergency Power Off</w:t>
      </w:r>
    </w:p>
    <w:p w14:paraId="2B6C2E74" w14:textId="77777777" w:rsidR="004C1A42" w:rsidRDefault="004C1A42" w:rsidP="009F08D6">
      <w:pPr>
        <w:pStyle w:val="EMList1"/>
        <w:numPr>
          <w:ilvl w:val="2"/>
          <w:numId w:val="2"/>
        </w:numPr>
      </w:pPr>
      <w:r w:rsidRPr="00EB6EAA">
        <w:t>Withstand: the unit will remain in place without separation of any parts from the device when subjected to the seismic forces specified and the unit will be fully operational after the seismic event.</w:t>
      </w:r>
    </w:p>
    <w:p w14:paraId="703EEC48" w14:textId="77777777" w:rsidR="004C1A42" w:rsidRPr="00EB6EAA" w:rsidRDefault="004C1A42" w:rsidP="009F08D6">
      <w:pPr>
        <w:pStyle w:val="EMList1"/>
        <w:numPr>
          <w:ilvl w:val="2"/>
          <w:numId w:val="2"/>
        </w:numPr>
      </w:pPr>
      <w:r>
        <w:t>Vortex Integrator: An individual that has been certified in the applicable related field relating to Vortex Design or installation, testing, and maintenance by Victaulic that is employed by a company under written agreement to be authorized as a Distributor of Vortex Components; in accordance with the requirements of NFPA 770 that individuals in relation to the design, installation, and maintenance of Hybrid extinguishing systems shall be certified by the manufacturer or another party approved by the AHJ.</w:t>
      </w:r>
    </w:p>
    <w:p w14:paraId="38FB85AF" w14:textId="77777777" w:rsidR="004C1A42" w:rsidRPr="00EB6EAA" w:rsidRDefault="004C1A42" w:rsidP="009F08D6">
      <w:pPr>
        <w:pStyle w:val="EMList1"/>
        <w:numPr>
          <w:ilvl w:val="1"/>
          <w:numId w:val="2"/>
        </w:numPr>
      </w:pPr>
      <w:r w:rsidRPr="00EB6EAA">
        <w:t>Applicable Submittals and Technical Documentation</w:t>
      </w:r>
    </w:p>
    <w:p w14:paraId="24446A69" w14:textId="77777777" w:rsidR="004C1A42" w:rsidRPr="00EB6EAA" w:rsidRDefault="004C1A42" w:rsidP="009F08D6">
      <w:pPr>
        <w:pStyle w:val="EMList1"/>
        <w:numPr>
          <w:ilvl w:val="2"/>
          <w:numId w:val="2"/>
        </w:numPr>
      </w:pPr>
      <w:r w:rsidRPr="00EB6EAA">
        <w:t>Product data:</w:t>
      </w:r>
    </w:p>
    <w:p w14:paraId="6FB2FDD5" w14:textId="77777777" w:rsidR="004C1A42" w:rsidRPr="00EB6EAA" w:rsidRDefault="004C1A42" w:rsidP="009F08D6">
      <w:pPr>
        <w:pStyle w:val="EMList1"/>
        <w:numPr>
          <w:ilvl w:val="3"/>
          <w:numId w:val="2"/>
        </w:numPr>
      </w:pPr>
      <w:r w:rsidRPr="00EB6EAA">
        <w:t>70.10: Victaulic Vortex 500 Fire Suppression System</w:t>
      </w:r>
    </w:p>
    <w:p w14:paraId="40C0BD5B" w14:textId="77777777" w:rsidR="004C1A42" w:rsidRPr="00EB6EAA" w:rsidRDefault="004C1A42" w:rsidP="009F08D6">
      <w:pPr>
        <w:pStyle w:val="ListParagraph"/>
        <w:numPr>
          <w:ilvl w:val="3"/>
          <w:numId w:val="2"/>
        </w:numPr>
        <w:rPr>
          <w:smallCaps/>
          <w:sz w:val="22"/>
          <w:szCs w:val="22"/>
          <w:lang w:eastAsia="ja-JP"/>
        </w:rPr>
      </w:pPr>
      <w:r w:rsidRPr="00EB6EAA">
        <w:rPr>
          <w:smallCaps/>
          <w:sz w:val="22"/>
          <w:szCs w:val="22"/>
          <w:lang w:eastAsia="ja-JP"/>
        </w:rPr>
        <w:t xml:space="preserve">70.16: </w:t>
      </w:r>
      <w:r w:rsidRPr="00EB6EAA">
        <w:rPr>
          <w:sz w:val="22"/>
          <w:szCs w:val="22"/>
          <w:lang w:eastAsia="ja-JP"/>
        </w:rPr>
        <w:t>Victaulic Vortex™ Series 953 Flow Cartridge and Strainer Kit</w:t>
      </w:r>
    </w:p>
    <w:p w14:paraId="3D2D11F8" w14:textId="77777777" w:rsidR="004C1A42" w:rsidRPr="00EB6EAA" w:rsidRDefault="004C1A42" w:rsidP="009F08D6">
      <w:pPr>
        <w:pStyle w:val="EMList1"/>
        <w:numPr>
          <w:ilvl w:val="3"/>
          <w:numId w:val="2"/>
        </w:numPr>
      </w:pPr>
      <w:r w:rsidRPr="00EB6EAA">
        <w:t>[Listed Fire Alarm Releasing Panel]</w:t>
      </w:r>
    </w:p>
    <w:p w14:paraId="05171CA2" w14:textId="77777777" w:rsidR="004C1A42" w:rsidRPr="00EB6EAA" w:rsidRDefault="004C1A42" w:rsidP="009F08D6">
      <w:pPr>
        <w:pStyle w:val="EMList1"/>
        <w:numPr>
          <w:ilvl w:val="2"/>
          <w:numId w:val="2"/>
        </w:numPr>
      </w:pPr>
      <w:r w:rsidRPr="00EB6EAA">
        <w:t>Sustainable Design Submittals:</w:t>
      </w:r>
    </w:p>
    <w:p w14:paraId="62B2158B" w14:textId="77777777" w:rsidR="004C1A42" w:rsidRPr="00EB6EAA" w:rsidRDefault="004C1A42" w:rsidP="009F08D6">
      <w:pPr>
        <w:pStyle w:val="EMList1"/>
        <w:numPr>
          <w:ilvl w:val="3"/>
          <w:numId w:val="2"/>
        </w:numPr>
      </w:pPr>
      <w:r w:rsidRPr="00EB6EAA">
        <w:t>No ozone depletion potential or Global Warming Characteristic shall be accepted</w:t>
      </w:r>
    </w:p>
    <w:p w14:paraId="64F15328" w14:textId="77777777" w:rsidR="004C1A42" w:rsidRPr="00EB6EAA" w:rsidRDefault="004C1A42" w:rsidP="009F08D6">
      <w:pPr>
        <w:pStyle w:val="EMList1"/>
        <w:numPr>
          <w:ilvl w:val="2"/>
          <w:numId w:val="2"/>
        </w:numPr>
      </w:pPr>
      <w:r w:rsidRPr="00EB6EAA">
        <w:lastRenderedPageBreak/>
        <w:t xml:space="preserve">Shop Drawings: </w:t>
      </w:r>
    </w:p>
    <w:p w14:paraId="19100152" w14:textId="77777777" w:rsidR="004C1A42" w:rsidRPr="00EB6EAA" w:rsidRDefault="004C1A42" w:rsidP="009F08D6">
      <w:pPr>
        <w:pStyle w:val="EMList1"/>
        <w:numPr>
          <w:ilvl w:val="3"/>
          <w:numId w:val="2"/>
        </w:numPr>
      </w:pPr>
      <w:r w:rsidRPr="00EB6EAA">
        <w:t>Prepare in accordance with requirements of NFPA 770, to include, but not be limited to, the following:</w:t>
      </w:r>
    </w:p>
    <w:p w14:paraId="160F6DD3" w14:textId="77777777" w:rsidR="004C1A42" w:rsidRPr="00EB6EAA" w:rsidRDefault="004C1A42" w:rsidP="009F08D6">
      <w:pPr>
        <w:pStyle w:val="EMList1"/>
        <w:numPr>
          <w:ilvl w:val="4"/>
          <w:numId w:val="2"/>
        </w:numPr>
      </w:pPr>
      <w:r w:rsidRPr="00EB6EAA">
        <w:t>Plans, elevations, sections, and attachment details.</w:t>
      </w:r>
    </w:p>
    <w:p w14:paraId="180C95BB" w14:textId="77777777" w:rsidR="004C1A42" w:rsidRPr="00EB6EAA" w:rsidRDefault="004C1A42" w:rsidP="009F08D6">
      <w:pPr>
        <w:pStyle w:val="EMList1"/>
        <w:numPr>
          <w:ilvl w:val="4"/>
          <w:numId w:val="2"/>
        </w:numPr>
      </w:pPr>
      <w:r w:rsidRPr="00EB6EAA">
        <w:t>Details of equipment assemblies. Indicate dimensions, weights, loads, manufacturer-required clearances, method of field assembly, components, and location and size of each field connection.</w:t>
      </w:r>
    </w:p>
    <w:p w14:paraId="35D8E3DA" w14:textId="77777777" w:rsidR="004C1A42" w:rsidRPr="00EB6EAA" w:rsidRDefault="004C1A42" w:rsidP="009F08D6">
      <w:pPr>
        <w:pStyle w:val="EMList1"/>
        <w:numPr>
          <w:ilvl w:val="4"/>
          <w:numId w:val="2"/>
        </w:numPr>
      </w:pPr>
      <w:r w:rsidRPr="00EB6EAA">
        <w:t>Diagrams for power, signal, and control wiring.</w:t>
      </w:r>
    </w:p>
    <w:p w14:paraId="5CA9EF85" w14:textId="73BA2EF4" w:rsidR="004C1A42" w:rsidRPr="00EB6EAA" w:rsidRDefault="004C1A42" w:rsidP="009F08D6">
      <w:pPr>
        <w:pStyle w:val="EMList1"/>
        <w:numPr>
          <w:ilvl w:val="4"/>
          <w:numId w:val="2"/>
        </w:numPr>
      </w:pPr>
      <w:r w:rsidRPr="00EB6EAA">
        <w:t>Permit-Approved Documents: Working plans approved by authorities having jurisdiction.</w:t>
      </w:r>
    </w:p>
    <w:p w14:paraId="7E56AC89" w14:textId="77777777" w:rsidR="004C1A42" w:rsidRDefault="004C1A42" w:rsidP="009F08D6">
      <w:pPr>
        <w:pStyle w:val="EMList1"/>
        <w:numPr>
          <w:ilvl w:val="4"/>
          <w:numId w:val="2"/>
        </w:numPr>
      </w:pPr>
      <w:r w:rsidRPr="00EB6EAA">
        <w:t>Delegated-Design Submittal: For Hybrid fire-extinguishing systems indicated to comply with performance and design criteria, including analysis data signed and sealed by the qualified professional engineer responsible for their preparation.</w:t>
      </w:r>
    </w:p>
    <w:p w14:paraId="5E260133" w14:textId="77777777" w:rsidR="004C1A42" w:rsidRPr="00EB6EAA" w:rsidRDefault="004C1A42" w:rsidP="009F08D6">
      <w:pPr>
        <w:pStyle w:val="EMList1"/>
        <w:numPr>
          <w:ilvl w:val="4"/>
          <w:numId w:val="2"/>
        </w:numPr>
      </w:pPr>
      <w:r>
        <w:t>Submitted by a Certified Vortex Integrator.</w:t>
      </w:r>
    </w:p>
    <w:p w14:paraId="7308DE10" w14:textId="77777777" w:rsidR="004C1A42" w:rsidRPr="00EB6EAA" w:rsidRDefault="004C1A42" w:rsidP="009F08D6">
      <w:pPr>
        <w:pStyle w:val="EMList1"/>
        <w:numPr>
          <w:ilvl w:val="2"/>
          <w:numId w:val="2"/>
        </w:numPr>
      </w:pPr>
      <w:r w:rsidRPr="00EB6EAA">
        <w:t>Informational Submittals</w:t>
      </w:r>
    </w:p>
    <w:p w14:paraId="363BF22A" w14:textId="77777777" w:rsidR="004C1A42" w:rsidRDefault="004C1A42" w:rsidP="009F08D6">
      <w:pPr>
        <w:pStyle w:val="EMList1"/>
        <w:numPr>
          <w:ilvl w:val="3"/>
          <w:numId w:val="2"/>
        </w:numPr>
      </w:pPr>
      <w:r w:rsidRPr="00EB6EAA">
        <w:t>Coordination Drawings: Plans, or BIM model, drawn to scale, showing the items described in this Section, and coordinated with all building trades in accordance with NFPA 770 requirements.</w:t>
      </w:r>
      <w:r>
        <w:t xml:space="preserve"> </w:t>
      </w:r>
    </w:p>
    <w:p w14:paraId="34C613E5" w14:textId="77777777" w:rsidR="004C1A42" w:rsidRPr="00EB6EAA" w:rsidRDefault="004C1A42" w:rsidP="009F08D6">
      <w:pPr>
        <w:pStyle w:val="EMList1"/>
        <w:numPr>
          <w:ilvl w:val="3"/>
          <w:numId w:val="2"/>
        </w:numPr>
      </w:pPr>
      <w:r>
        <w:t>Related Drawings, submittals, and materials shall be submitted and managed by a Certified Vortex Integrator.</w:t>
      </w:r>
    </w:p>
    <w:p w14:paraId="2DF5FB7A" w14:textId="77777777" w:rsidR="004C1A42" w:rsidRPr="00EB6EAA" w:rsidRDefault="004C1A42" w:rsidP="009F08D6">
      <w:pPr>
        <w:pStyle w:val="EMList1"/>
        <w:numPr>
          <w:ilvl w:val="2"/>
          <w:numId w:val="2"/>
        </w:numPr>
      </w:pPr>
      <w:r w:rsidRPr="00EB6EAA">
        <w:t>Closeout Submittals</w:t>
      </w:r>
    </w:p>
    <w:p w14:paraId="50BD5581" w14:textId="77777777" w:rsidR="004C1A42" w:rsidRPr="00EB6EAA" w:rsidRDefault="004C1A42" w:rsidP="009F08D6">
      <w:pPr>
        <w:pStyle w:val="EMList1"/>
        <w:numPr>
          <w:ilvl w:val="3"/>
          <w:numId w:val="2"/>
        </w:numPr>
      </w:pPr>
      <w:r w:rsidRPr="00EB6EAA">
        <w:t xml:space="preserve">Operation and Maintenance Data: </w:t>
      </w:r>
    </w:p>
    <w:p w14:paraId="0A861C12" w14:textId="77777777" w:rsidR="004C1A42" w:rsidRPr="00EB6EAA" w:rsidRDefault="004C1A42" w:rsidP="009F08D6">
      <w:pPr>
        <w:pStyle w:val="EMList1"/>
        <w:numPr>
          <w:ilvl w:val="4"/>
          <w:numId w:val="2"/>
        </w:numPr>
      </w:pPr>
      <w:r w:rsidRPr="00EB6EAA">
        <w:t>For Hybrid fire-extinguishing system to include operation, and maintenance manuals.</w:t>
      </w:r>
    </w:p>
    <w:p w14:paraId="55EF88B9" w14:textId="77777777" w:rsidR="004C1A42" w:rsidRPr="00EB6EAA" w:rsidRDefault="004C1A42" w:rsidP="009F08D6">
      <w:pPr>
        <w:pStyle w:val="EMList1"/>
        <w:numPr>
          <w:ilvl w:val="4"/>
          <w:numId w:val="2"/>
        </w:numPr>
      </w:pPr>
      <w:r w:rsidRPr="00EB6EAA">
        <w:t>Fire alarm system Manufacture’s operation and maintenance manuals.</w:t>
      </w:r>
    </w:p>
    <w:p w14:paraId="615D0529" w14:textId="77777777" w:rsidR="004C1A42" w:rsidRPr="00EB6EAA" w:rsidRDefault="004C1A42" w:rsidP="009F08D6">
      <w:pPr>
        <w:pStyle w:val="EMList1"/>
        <w:numPr>
          <w:ilvl w:val="3"/>
          <w:numId w:val="2"/>
        </w:numPr>
      </w:pPr>
      <w:r w:rsidRPr="00EB6EAA">
        <w:t>Design drawings and system layout</w:t>
      </w:r>
    </w:p>
    <w:p w14:paraId="489BDB92" w14:textId="77777777" w:rsidR="004C1A42" w:rsidRPr="00EB6EAA" w:rsidRDefault="004C1A42" w:rsidP="009F08D6">
      <w:pPr>
        <w:pStyle w:val="EMList1"/>
        <w:numPr>
          <w:ilvl w:val="3"/>
          <w:numId w:val="2"/>
        </w:numPr>
      </w:pPr>
      <w:r w:rsidRPr="00EB6EAA">
        <w:t>Safety related information and notifications</w:t>
      </w:r>
    </w:p>
    <w:p w14:paraId="1E435C8A" w14:textId="77777777" w:rsidR="004C1A42" w:rsidRPr="00EB6EAA" w:rsidRDefault="004C1A42" w:rsidP="009F08D6">
      <w:pPr>
        <w:pStyle w:val="EMList1"/>
        <w:numPr>
          <w:ilvl w:val="3"/>
          <w:numId w:val="2"/>
        </w:numPr>
      </w:pPr>
      <w:r w:rsidRPr="00EB6EAA">
        <w:t>Occupant procedural information</w:t>
      </w:r>
    </w:p>
    <w:p w14:paraId="1941CE36" w14:textId="77777777" w:rsidR="004C1A42" w:rsidRDefault="004C1A42" w:rsidP="009F08D6">
      <w:pPr>
        <w:pStyle w:val="EMList1"/>
        <w:numPr>
          <w:ilvl w:val="3"/>
          <w:numId w:val="2"/>
        </w:numPr>
      </w:pPr>
      <w:r w:rsidRPr="00EB6EAA">
        <w:t>System discharge sequence identification and explanation</w:t>
      </w:r>
    </w:p>
    <w:p w14:paraId="0C90AA50" w14:textId="77777777" w:rsidR="004C1A42" w:rsidRPr="00EB6EAA" w:rsidRDefault="004C1A42" w:rsidP="009F08D6">
      <w:pPr>
        <w:pStyle w:val="EMList1"/>
        <w:numPr>
          <w:ilvl w:val="3"/>
          <w:numId w:val="2"/>
        </w:numPr>
      </w:pPr>
      <w:r>
        <w:t>All related information to be submitted and managed by a Certified Vortex Integrator.</w:t>
      </w:r>
    </w:p>
    <w:p w14:paraId="24E2777C" w14:textId="77777777" w:rsidR="004C1A42" w:rsidRPr="00EB6EAA" w:rsidRDefault="004C1A42" w:rsidP="009F08D6">
      <w:pPr>
        <w:pStyle w:val="EMList1"/>
        <w:numPr>
          <w:ilvl w:val="2"/>
          <w:numId w:val="2"/>
        </w:numPr>
      </w:pPr>
      <w:r w:rsidRPr="00EB6EAA">
        <w:t>MAINTENANCE MATERIAL SUBMITTALS</w:t>
      </w:r>
    </w:p>
    <w:p w14:paraId="1F0EA145" w14:textId="77777777" w:rsidR="004C1A42" w:rsidRPr="00EB6EAA" w:rsidRDefault="004C1A42" w:rsidP="009F08D6">
      <w:pPr>
        <w:pStyle w:val="EMList1"/>
        <w:numPr>
          <w:ilvl w:val="3"/>
          <w:numId w:val="2"/>
        </w:numPr>
      </w:pPr>
      <w:r w:rsidRPr="00EB6EAA">
        <w:t>Furnish extra materials that match products installed and that are packaged with protective covering for storage and identified with labels describing contents. Deliver extra materials to Owner.</w:t>
      </w:r>
    </w:p>
    <w:p w14:paraId="0F4DAA03" w14:textId="77777777" w:rsidR="004C1A42" w:rsidRPr="00EB6EAA" w:rsidRDefault="004C1A42" w:rsidP="009F08D6">
      <w:pPr>
        <w:pStyle w:val="EMList1"/>
        <w:numPr>
          <w:ilvl w:val="4"/>
          <w:numId w:val="2"/>
        </w:numPr>
      </w:pPr>
      <w:r w:rsidRPr="00EB6EAA">
        <w:t>Protective caps equal to the number of cylinders installed in the Vortex™ 500 system.</w:t>
      </w:r>
    </w:p>
    <w:p w14:paraId="317FF5AE" w14:textId="77777777" w:rsidR="004C1A42" w:rsidRDefault="004C1A42" w:rsidP="009F08D6">
      <w:pPr>
        <w:pStyle w:val="ListParagraph"/>
        <w:numPr>
          <w:ilvl w:val="4"/>
          <w:numId w:val="2"/>
        </w:numPr>
        <w:rPr>
          <w:sz w:val="22"/>
          <w:szCs w:val="22"/>
          <w:lang w:eastAsia="ja-JP"/>
        </w:rPr>
      </w:pPr>
      <w:r w:rsidRPr="00EB6EAA">
        <w:rPr>
          <w:sz w:val="22"/>
          <w:szCs w:val="22"/>
          <w:lang w:eastAsia="ja-JP"/>
        </w:rPr>
        <w:t>Emitters: Not less than</w:t>
      </w:r>
      <w:r>
        <w:rPr>
          <w:sz w:val="22"/>
          <w:szCs w:val="22"/>
          <w:lang w:eastAsia="ja-JP"/>
        </w:rPr>
        <w:t xml:space="preserve"> one 5/8” emitter or applicable emitter type for the configuration.</w:t>
      </w:r>
    </w:p>
    <w:p w14:paraId="1500DDB8" w14:textId="77777777" w:rsidR="004C1A42" w:rsidRPr="00EB6EAA" w:rsidRDefault="004C1A42" w:rsidP="009F08D6">
      <w:pPr>
        <w:pStyle w:val="ListParagraph"/>
        <w:numPr>
          <w:ilvl w:val="3"/>
          <w:numId w:val="2"/>
        </w:numPr>
        <w:rPr>
          <w:sz w:val="22"/>
          <w:szCs w:val="22"/>
          <w:lang w:eastAsia="ja-JP"/>
        </w:rPr>
      </w:pPr>
      <w:r>
        <w:rPr>
          <w:sz w:val="22"/>
          <w:szCs w:val="22"/>
          <w:lang w:eastAsia="ja-JP"/>
        </w:rPr>
        <w:lastRenderedPageBreak/>
        <w:t>Maintenance materials shall be stored on site and shall only be installed or utilized in the maintenance process by the certified Vortex Integrator.</w:t>
      </w:r>
    </w:p>
    <w:p w14:paraId="5D469696" w14:textId="77777777" w:rsidR="004C1A42" w:rsidRPr="00EB6EAA" w:rsidRDefault="004C1A42" w:rsidP="009F08D6">
      <w:pPr>
        <w:pStyle w:val="EMList1"/>
        <w:numPr>
          <w:ilvl w:val="0"/>
          <w:numId w:val="2"/>
        </w:numPr>
      </w:pPr>
      <w:r w:rsidRPr="00EB6EAA">
        <w:t>Part 2 - Products</w:t>
      </w:r>
    </w:p>
    <w:p w14:paraId="780BE1EA" w14:textId="77777777" w:rsidR="004C1A42" w:rsidRPr="00EB6EAA" w:rsidRDefault="004C1A42" w:rsidP="009F08D6">
      <w:pPr>
        <w:pStyle w:val="EMList1"/>
        <w:numPr>
          <w:ilvl w:val="1"/>
          <w:numId w:val="2"/>
        </w:numPr>
      </w:pPr>
      <w:r w:rsidRPr="00EB6EAA">
        <w:t>Performance Requirements</w:t>
      </w:r>
    </w:p>
    <w:p w14:paraId="7AE6BDA6" w14:textId="77777777" w:rsidR="004C1A42" w:rsidRPr="00EB6EAA" w:rsidRDefault="004C1A42" w:rsidP="009F08D6">
      <w:pPr>
        <w:pStyle w:val="EMList1"/>
        <w:numPr>
          <w:ilvl w:val="2"/>
          <w:numId w:val="2"/>
        </w:numPr>
      </w:pPr>
      <w:r w:rsidRPr="00EB6EAA">
        <w:t>Electrical Components, Devices, and Accessories: Listed and labeled as defined in NFPA 70, by an NRTL, and marked for intended location and application.</w:t>
      </w:r>
    </w:p>
    <w:p w14:paraId="01067C06" w14:textId="77777777" w:rsidR="004C1A42" w:rsidRPr="00EB6EAA" w:rsidRDefault="004C1A42" w:rsidP="009F08D6">
      <w:pPr>
        <w:pStyle w:val="EMList1"/>
        <w:numPr>
          <w:ilvl w:val="2"/>
          <w:numId w:val="2"/>
        </w:numPr>
      </w:pPr>
      <w:r w:rsidRPr="00EB6EAA">
        <w:t>Seismic Performance: Fire-suppression piping shall withstand the effects of earthquake motions determined in accordance with NFPA 13.</w:t>
      </w:r>
    </w:p>
    <w:p w14:paraId="70D0A940" w14:textId="77777777" w:rsidR="004C1A42" w:rsidRPr="00EB6EAA" w:rsidRDefault="004C1A42" w:rsidP="009F08D6">
      <w:pPr>
        <w:pStyle w:val="EMList1"/>
        <w:numPr>
          <w:ilvl w:val="1"/>
          <w:numId w:val="2"/>
        </w:numPr>
      </w:pPr>
      <w:r w:rsidRPr="00EB6EAA">
        <w:t>Hybrid Systems</w:t>
      </w:r>
    </w:p>
    <w:p w14:paraId="0FF9E980" w14:textId="77777777" w:rsidR="004C1A42" w:rsidRPr="00EB6EAA" w:rsidRDefault="004C1A42" w:rsidP="009F08D6">
      <w:pPr>
        <w:pStyle w:val="EMList1"/>
        <w:numPr>
          <w:ilvl w:val="2"/>
          <w:numId w:val="2"/>
        </w:numPr>
      </w:pPr>
      <w:r w:rsidRPr="00EB6EAA">
        <w:t>Source Limitations: Obtain Hybrid systems from single source from single manufacturer.</w:t>
      </w:r>
    </w:p>
    <w:p w14:paraId="017F8C13" w14:textId="77777777" w:rsidR="004C1A42" w:rsidRPr="00EB6EAA" w:rsidRDefault="004C1A42" w:rsidP="009F08D6">
      <w:pPr>
        <w:pStyle w:val="EMList1"/>
        <w:numPr>
          <w:ilvl w:val="2"/>
          <w:numId w:val="2"/>
        </w:numPr>
      </w:pPr>
      <w:r w:rsidRPr="00EB6EAA">
        <w:t>Description: Unless otherwise specified, protection shall be by a pre-</w:t>
      </w:r>
      <w:r>
        <w:t>packaged</w:t>
      </w:r>
      <w:r w:rsidRPr="00EB6EAA">
        <w:t xml:space="preserve"> hybrid, Victaulic Vortex™ 500 hybrid media system.</w:t>
      </w:r>
    </w:p>
    <w:p w14:paraId="152D6DB3" w14:textId="77777777" w:rsidR="004C1A42" w:rsidRPr="00EB6EAA" w:rsidRDefault="004C1A42" w:rsidP="009F08D6">
      <w:pPr>
        <w:pStyle w:val="EMList1"/>
        <w:numPr>
          <w:ilvl w:val="2"/>
          <w:numId w:val="2"/>
        </w:numPr>
      </w:pPr>
      <w:r w:rsidRPr="00EB6EAA">
        <w:t>Victaulic Vortex™ 500 Fire Suppression System</w:t>
      </w:r>
    </w:p>
    <w:p w14:paraId="0AD639BC" w14:textId="77777777" w:rsidR="004C1A42" w:rsidRPr="00EB6EAA" w:rsidRDefault="004C1A42" w:rsidP="009F08D6">
      <w:pPr>
        <w:pStyle w:val="EMList1"/>
        <w:numPr>
          <w:ilvl w:val="3"/>
          <w:numId w:val="2"/>
        </w:numPr>
      </w:pPr>
      <w:r w:rsidRPr="00EB6EAA">
        <w:t xml:space="preserve">The system shall be designed, </w:t>
      </w:r>
      <w:proofErr w:type="gramStart"/>
      <w:r w:rsidRPr="00EB6EAA">
        <w:t>installed</w:t>
      </w:r>
      <w:proofErr w:type="gramEnd"/>
      <w:r w:rsidRPr="00EB6EAA">
        <w:t xml:space="preserve"> and tested in accordance with Victaulic Vortex™ 500 Design, Installation and Maintenance Manual.  </w:t>
      </w:r>
    </w:p>
    <w:p w14:paraId="577187C5" w14:textId="77777777" w:rsidR="004C1A42" w:rsidRPr="00EB6EAA" w:rsidRDefault="004C1A42" w:rsidP="009F08D6">
      <w:pPr>
        <w:pStyle w:val="EMList1"/>
        <w:numPr>
          <w:ilvl w:val="3"/>
          <w:numId w:val="2"/>
        </w:numPr>
      </w:pPr>
      <w:r w:rsidRPr="00EB6EAA">
        <w:t>The Victaulic Vortex™ 500 System shall incorporate separate pressurized streams of nitrogen and water which are combined at the patented Vortex™ emitter. The Vortex™ emitter shall discharge a hybrid media of nitrogen and atomized water droplets, as a homogeneous suspension, into the protected hazard space.</w:t>
      </w:r>
    </w:p>
    <w:p w14:paraId="3972880A" w14:textId="77777777" w:rsidR="004C1A42" w:rsidRPr="00EB6EAA" w:rsidRDefault="004C1A42" w:rsidP="009F08D6">
      <w:pPr>
        <w:pStyle w:val="EMList1"/>
        <w:numPr>
          <w:ilvl w:val="3"/>
          <w:numId w:val="2"/>
        </w:numPr>
      </w:pPr>
      <w:r w:rsidRPr="00EB6EAA">
        <w:t xml:space="preserve">The Victaulic Vortex™ 500 Hybrid extinguishing system is a </w:t>
      </w:r>
      <w:r>
        <w:t>Pre-Packaged</w:t>
      </w:r>
      <w:r w:rsidRPr="00EB6EAA">
        <w:t xml:space="preserve"> unit.</w:t>
      </w:r>
    </w:p>
    <w:p w14:paraId="79D9C657" w14:textId="77777777" w:rsidR="004C1A42" w:rsidRPr="00EB6EAA" w:rsidRDefault="004C1A42" w:rsidP="009F08D6">
      <w:pPr>
        <w:pStyle w:val="EMList1"/>
        <w:numPr>
          <w:ilvl w:val="4"/>
          <w:numId w:val="2"/>
        </w:numPr>
      </w:pPr>
      <w:r w:rsidRPr="00EB6EAA">
        <w:t>The unit shall not be tampered with or altered in any manner outside the scope of the I-Vortex.500 Installation instructions</w:t>
      </w:r>
    </w:p>
    <w:p w14:paraId="329AE839" w14:textId="77777777" w:rsidR="004C1A42" w:rsidRPr="00EB6EAA" w:rsidRDefault="004C1A42" w:rsidP="009F08D6">
      <w:pPr>
        <w:pStyle w:val="EMList1"/>
        <w:numPr>
          <w:ilvl w:val="4"/>
          <w:numId w:val="2"/>
        </w:numPr>
      </w:pPr>
      <w:r w:rsidRPr="00EB6EAA">
        <w:t xml:space="preserve">The V500 System allows for extension of the piping feeding the emitters up to 18 inches from the factory set length. </w:t>
      </w:r>
    </w:p>
    <w:p w14:paraId="7BCBACD8" w14:textId="77777777" w:rsidR="004C1A42" w:rsidRDefault="004C1A42" w:rsidP="009F08D6">
      <w:pPr>
        <w:pStyle w:val="EMList1"/>
        <w:numPr>
          <w:ilvl w:val="2"/>
          <w:numId w:val="2"/>
        </w:numPr>
      </w:pPr>
      <w:r w:rsidRPr="00EB6EAA">
        <w:t xml:space="preserve">Performance Requirements: </w:t>
      </w:r>
    </w:p>
    <w:p w14:paraId="4FB2C803" w14:textId="48A84E09" w:rsidR="004C1A42" w:rsidRDefault="004C1A42" w:rsidP="009F08D6">
      <w:pPr>
        <w:pStyle w:val="EMList1"/>
        <w:numPr>
          <w:ilvl w:val="3"/>
          <w:numId w:val="2"/>
        </w:numPr>
      </w:pPr>
      <w:r w:rsidRPr="00EB6EAA">
        <w:t xml:space="preserve">Discharge Hybrid Media within </w:t>
      </w:r>
      <w:r w:rsidR="004240A5">
        <w:t>3</w:t>
      </w:r>
      <w:r w:rsidR="004240A5" w:rsidRPr="00EB6EAA">
        <w:t xml:space="preserve"> </w:t>
      </w:r>
      <w:r w:rsidRPr="00EB6EAA">
        <w:t>minutes of system activation and no less than 2.2 Minutes</w:t>
      </w:r>
      <w:r w:rsidR="00241506">
        <w:t>.</w:t>
      </w:r>
    </w:p>
    <w:p w14:paraId="18B00A83" w14:textId="63D0EF25" w:rsidR="004C1A42" w:rsidRDefault="004C1A42" w:rsidP="009F08D6">
      <w:pPr>
        <w:pStyle w:val="EMList1"/>
        <w:numPr>
          <w:ilvl w:val="3"/>
          <w:numId w:val="2"/>
        </w:numPr>
      </w:pPr>
      <w:r>
        <w:t>Final Design Oxygen Level shall not be above 14% O2 nor below 12.5% O2</w:t>
      </w:r>
      <w:r w:rsidR="00241506">
        <w:t>.</w:t>
      </w:r>
    </w:p>
    <w:p w14:paraId="1FB694C9" w14:textId="702202C3" w:rsidR="00241506" w:rsidRPr="00EB6EAA" w:rsidRDefault="00241506" w:rsidP="00241506">
      <w:pPr>
        <w:pStyle w:val="EMList1"/>
        <w:numPr>
          <w:ilvl w:val="4"/>
          <w:numId w:val="2"/>
        </w:numPr>
      </w:pPr>
      <w:r>
        <w:t>Unless approved by the local AHJ.</w:t>
      </w:r>
    </w:p>
    <w:p w14:paraId="348FFAE3" w14:textId="5512E82C" w:rsidR="004C1A42" w:rsidRPr="00EB6EAA" w:rsidRDefault="004C1A42" w:rsidP="009F08D6">
      <w:pPr>
        <w:pStyle w:val="EMList1"/>
        <w:numPr>
          <w:ilvl w:val="2"/>
          <w:numId w:val="2"/>
        </w:numPr>
      </w:pPr>
      <w:r w:rsidRPr="00EB6EAA">
        <w:t>Delegated Design: Design Hybrid fire-extinguishing system and obtain approval from authorities having jurisdiction. Design system for Class A and Class C fire hazards as appropriate for areas being protected</w:t>
      </w:r>
      <w:r w:rsidR="00241506">
        <w:t xml:space="preserve"> (</w:t>
      </w:r>
      <w:proofErr w:type="gramStart"/>
      <w:r w:rsidR="00241506">
        <w:t>as long as</w:t>
      </w:r>
      <w:proofErr w:type="gramEnd"/>
      <w:r w:rsidR="00241506">
        <w:t xml:space="preserve"> energized equipment is </w:t>
      </w:r>
      <w:proofErr w:type="spellStart"/>
      <w:r w:rsidR="00241506">
        <w:t>shutdown</w:t>
      </w:r>
      <w:proofErr w:type="spellEnd"/>
      <w:r w:rsidR="00241506">
        <w:t xml:space="preserve"> upon hybrid system activation)</w:t>
      </w:r>
      <w:r w:rsidRPr="00EB6EAA">
        <w:t xml:space="preserve">. </w:t>
      </w:r>
    </w:p>
    <w:p w14:paraId="1298B241" w14:textId="77777777" w:rsidR="004C1A42" w:rsidRPr="00EB6EAA" w:rsidRDefault="004C1A42" w:rsidP="009F08D6">
      <w:pPr>
        <w:pStyle w:val="EMList1"/>
        <w:numPr>
          <w:ilvl w:val="3"/>
          <w:numId w:val="2"/>
        </w:numPr>
        <w:rPr>
          <w:i/>
          <w:iCs/>
        </w:rPr>
      </w:pPr>
      <w:r w:rsidRPr="00EB6EAA">
        <w:t xml:space="preserve">Utilize Victaulic design criteria found in the Vortex™ 500 Fire suppression system found in </w:t>
      </w:r>
      <w:r w:rsidRPr="00EB6EAA">
        <w:rPr>
          <w:i/>
          <w:iCs/>
        </w:rPr>
        <w:t>General Design, Installation and Maintenance Manual: Victaulic Vortex 500 Hybrid Fire Extinguishing System; I-Vortex.500</w:t>
      </w:r>
    </w:p>
    <w:p w14:paraId="06FB2EA6"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lastRenderedPageBreak/>
        <w:t xml:space="preserve">System Capabilities: </w:t>
      </w:r>
    </w:p>
    <w:p w14:paraId="0A57641B" w14:textId="77777777" w:rsidR="00934E37" w:rsidRDefault="00934E37" w:rsidP="00934E37">
      <w:pPr>
        <w:pStyle w:val="ListParagraph"/>
        <w:numPr>
          <w:ilvl w:val="2"/>
          <w:numId w:val="2"/>
        </w:numPr>
        <w:spacing w:after="160" w:line="252" w:lineRule="auto"/>
      </w:pPr>
      <w:r>
        <w:t>Piping Requirements</w:t>
      </w:r>
    </w:p>
    <w:p w14:paraId="55A82138" w14:textId="77777777" w:rsidR="00934E37" w:rsidRDefault="00934E37" w:rsidP="00934E37">
      <w:pPr>
        <w:pStyle w:val="ListParagraph"/>
        <w:numPr>
          <w:ilvl w:val="3"/>
          <w:numId w:val="2"/>
        </w:numPr>
        <w:spacing w:after="160" w:line="252" w:lineRule="auto"/>
      </w:pPr>
      <w:r>
        <w:t>In accordance with Section 5 of this specification</w:t>
      </w:r>
    </w:p>
    <w:p w14:paraId="2E0F5123" w14:textId="77777777" w:rsidR="00934E37" w:rsidRDefault="00934E37" w:rsidP="00934E37">
      <w:pPr>
        <w:pStyle w:val="ListParagraph"/>
        <w:numPr>
          <w:ilvl w:val="3"/>
          <w:numId w:val="2"/>
        </w:numPr>
        <w:spacing w:after="160" w:line="252" w:lineRule="auto"/>
      </w:pPr>
      <w:r>
        <w:t>Piping size and fittings sized for required nitrogen/ water flows and delivery per appropriate I-Vortex manual</w:t>
      </w:r>
    </w:p>
    <w:p w14:paraId="1CA885DB" w14:textId="77777777" w:rsidR="00934E37" w:rsidRDefault="00934E37" w:rsidP="00934E37">
      <w:pPr>
        <w:pStyle w:val="ListParagraph"/>
        <w:numPr>
          <w:ilvl w:val="3"/>
          <w:numId w:val="2"/>
        </w:numPr>
        <w:spacing w:after="160" w:line="252" w:lineRule="auto"/>
      </w:pPr>
      <w:r>
        <w:t>Pressure rating:</w:t>
      </w:r>
    </w:p>
    <w:p w14:paraId="0823E9BF" w14:textId="77777777" w:rsidR="00934E37" w:rsidRDefault="00934E37" w:rsidP="00934E37">
      <w:pPr>
        <w:pStyle w:val="ListParagraph"/>
        <w:numPr>
          <w:ilvl w:val="4"/>
          <w:numId w:val="2"/>
        </w:numPr>
        <w:spacing w:after="160" w:line="252" w:lineRule="auto"/>
      </w:pPr>
      <w:r>
        <w:t xml:space="preserve">Nitrogen piping </w:t>
      </w:r>
    </w:p>
    <w:p w14:paraId="64CAE6ED" w14:textId="77777777" w:rsidR="00934E37" w:rsidRDefault="00934E37" w:rsidP="00934E37">
      <w:pPr>
        <w:pStyle w:val="ListParagraph"/>
        <w:numPr>
          <w:ilvl w:val="5"/>
          <w:numId w:val="2"/>
        </w:numPr>
        <w:spacing w:after="160" w:line="252" w:lineRule="auto"/>
      </w:pPr>
      <w:r>
        <w:t xml:space="preserve">Minimum 3000 </w:t>
      </w:r>
      <w:proofErr w:type="spellStart"/>
      <w:r>
        <w:t>psig</w:t>
      </w:r>
      <w:proofErr w:type="spellEnd"/>
      <w:r>
        <w:t xml:space="preserve"> minimum working pressure upstream of fluid/ combination panel</w:t>
      </w:r>
    </w:p>
    <w:p w14:paraId="570A082F" w14:textId="77777777" w:rsidR="00934E37" w:rsidRDefault="00934E37" w:rsidP="00934E37">
      <w:pPr>
        <w:pStyle w:val="ListParagraph"/>
        <w:numPr>
          <w:ilvl w:val="6"/>
          <w:numId w:val="2"/>
        </w:numPr>
        <w:spacing w:after="160" w:line="252" w:lineRule="auto"/>
      </w:pPr>
      <w:r>
        <w:t>Lower ratings permissible with lower pressure nitrogen supplies protected by an appropriately sized relief valve</w:t>
      </w:r>
    </w:p>
    <w:p w14:paraId="36E8D71B" w14:textId="77777777" w:rsidR="00934E37" w:rsidRDefault="00934E37" w:rsidP="00934E37">
      <w:pPr>
        <w:pStyle w:val="ListParagraph"/>
        <w:numPr>
          <w:ilvl w:val="5"/>
          <w:numId w:val="2"/>
        </w:numPr>
        <w:spacing w:after="160" w:line="252" w:lineRule="auto"/>
      </w:pPr>
      <w:r>
        <w:t xml:space="preserve">Minimum 175 </w:t>
      </w:r>
      <w:proofErr w:type="spellStart"/>
      <w:r>
        <w:t>psig</w:t>
      </w:r>
      <w:proofErr w:type="spellEnd"/>
      <w:r>
        <w:t xml:space="preserve"> from outlet of combination or zone panel to emitters</w:t>
      </w:r>
    </w:p>
    <w:p w14:paraId="1D90ED18" w14:textId="201E89C9" w:rsidR="00934E37" w:rsidRDefault="00934E37" w:rsidP="00934E37">
      <w:pPr>
        <w:pStyle w:val="ListParagraph"/>
        <w:numPr>
          <w:ilvl w:val="5"/>
          <w:numId w:val="2"/>
        </w:numPr>
        <w:spacing w:after="160" w:line="252" w:lineRule="auto"/>
      </w:pPr>
      <w:r>
        <w:t xml:space="preserve">Minimum 175 </w:t>
      </w:r>
      <w:proofErr w:type="spellStart"/>
      <w:r>
        <w:t>psig</w:t>
      </w:r>
      <w:proofErr w:type="spellEnd"/>
      <w:r>
        <w:t xml:space="preserve"> from fluid panel outlet to zone panel inlet</w:t>
      </w:r>
    </w:p>
    <w:p w14:paraId="5BE473BB" w14:textId="77777777" w:rsidR="00934E37" w:rsidRDefault="00934E37" w:rsidP="00934E37">
      <w:pPr>
        <w:pStyle w:val="ListParagraph"/>
        <w:numPr>
          <w:ilvl w:val="6"/>
          <w:numId w:val="2"/>
        </w:numPr>
        <w:spacing w:after="160" w:line="252" w:lineRule="auto"/>
      </w:pPr>
      <w:r>
        <w:t>Protect fluid to zone panel piping with appropriately sized pressure relief valve</w:t>
      </w:r>
    </w:p>
    <w:p w14:paraId="6638A7BF" w14:textId="77777777" w:rsidR="00934E37" w:rsidRDefault="00934E37" w:rsidP="00934E37">
      <w:pPr>
        <w:pStyle w:val="ListParagraph"/>
        <w:numPr>
          <w:ilvl w:val="4"/>
          <w:numId w:val="2"/>
        </w:numPr>
        <w:spacing w:after="160" w:line="252" w:lineRule="auto"/>
      </w:pPr>
      <w:r>
        <w:t>Water piping</w:t>
      </w:r>
    </w:p>
    <w:p w14:paraId="268829EC" w14:textId="77777777" w:rsidR="00934E37" w:rsidRDefault="00934E37" w:rsidP="00934E37">
      <w:pPr>
        <w:pStyle w:val="ListParagraph"/>
        <w:numPr>
          <w:ilvl w:val="5"/>
          <w:numId w:val="2"/>
        </w:numPr>
        <w:spacing w:after="160" w:line="252" w:lineRule="auto"/>
        <w:rPr>
          <w:rFonts w:ascii="Calibri" w:hAnsi="Calibri" w:cs="Calibri"/>
          <w:sz w:val="22"/>
          <w:szCs w:val="22"/>
        </w:rPr>
      </w:pPr>
      <w:r>
        <w:t xml:space="preserve">Minimum 175 </w:t>
      </w:r>
      <w:proofErr w:type="spellStart"/>
      <w:r>
        <w:t>psig</w:t>
      </w:r>
      <w:proofErr w:type="spellEnd"/>
      <w:r>
        <w:t xml:space="preserve"> </w:t>
      </w:r>
    </w:p>
    <w:p w14:paraId="4AEFC265" w14:textId="7BC691CC" w:rsidR="004C1A42" w:rsidRPr="00EB6EAA" w:rsidRDefault="004C1A42" w:rsidP="009F08D6">
      <w:pPr>
        <w:pStyle w:val="EMList1"/>
        <w:numPr>
          <w:ilvl w:val="2"/>
          <w:numId w:val="2"/>
        </w:numPr>
      </w:pPr>
      <w:r w:rsidRPr="00EB6EAA">
        <w:t xml:space="preserve">If the </w:t>
      </w:r>
      <w:r>
        <w:t>Pre-Packaged</w:t>
      </w:r>
      <w:r w:rsidRPr="00EB6EAA">
        <w:t xml:space="preserve"> piping is extended on the Vortex™ 500 Fire suppression system, it shall have a maximum working pressure of 175psi </w:t>
      </w:r>
    </w:p>
    <w:p w14:paraId="6B01801E" w14:textId="77777777" w:rsidR="004C1A42" w:rsidRPr="00EB6EAA" w:rsidRDefault="004C1A42" w:rsidP="009F08D6">
      <w:pPr>
        <w:pStyle w:val="EMList1"/>
        <w:numPr>
          <w:ilvl w:val="2"/>
          <w:numId w:val="2"/>
        </w:numPr>
      </w:pPr>
      <w:r w:rsidRPr="00EB6EAA">
        <w:t xml:space="preserve">All applications that are determined to be outside the designed capability of the Vortex™ 500 Fire Suppression system shall consult Design Specifications for the Vortex™ 1500 Hybrid Media System. </w:t>
      </w:r>
    </w:p>
    <w:p w14:paraId="339D0087" w14:textId="77777777" w:rsidR="004C1A42" w:rsidRPr="00EB6EAA" w:rsidRDefault="004C1A42" w:rsidP="009F08D6">
      <w:pPr>
        <w:pStyle w:val="EMList1"/>
        <w:numPr>
          <w:ilvl w:val="3"/>
          <w:numId w:val="2"/>
        </w:numPr>
      </w:pPr>
      <w:r w:rsidRPr="00EB6EAA">
        <w:t>Examples of this requirement include, but are not limited to:</w:t>
      </w:r>
    </w:p>
    <w:p w14:paraId="2929F7D0" w14:textId="77777777" w:rsidR="004C1A42" w:rsidRPr="00EB6EAA" w:rsidRDefault="004C1A42" w:rsidP="009F08D6">
      <w:pPr>
        <w:pStyle w:val="EMList1"/>
        <w:numPr>
          <w:ilvl w:val="4"/>
          <w:numId w:val="2"/>
        </w:numPr>
      </w:pPr>
      <w:r w:rsidRPr="00EB6EAA">
        <w:t>Class B fire hazards</w:t>
      </w:r>
    </w:p>
    <w:p w14:paraId="4A14A5F4" w14:textId="77777777" w:rsidR="004C1A42" w:rsidRPr="00EB6EAA" w:rsidRDefault="004C1A42" w:rsidP="009F08D6">
      <w:pPr>
        <w:pStyle w:val="EMList1"/>
        <w:numPr>
          <w:ilvl w:val="4"/>
          <w:numId w:val="2"/>
        </w:numPr>
      </w:pPr>
      <w:r w:rsidRPr="00EB6EAA">
        <w:t>Enclosures over 4500ft</w:t>
      </w:r>
      <w:r w:rsidRPr="00EB6EAA">
        <w:rPr>
          <w:vertAlign w:val="superscript"/>
        </w:rPr>
        <w:t>3</w:t>
      </w:r>
      <w:r w:rsidRPr="00EB6EAA">
        <w:t xml:space="preserve"> for the exception of:</w:t>
      </w:r>
    </w:p>
    <w:p w14:paraId="152F4EBF" w14:textId="77777777" w:rsidR="004C1A42" w:rsidRPr="00EB6EAA" w:rsidRDefault="004C1A42" w:rsidP="009F08D6">
      <w:pPr>
        <w:pStyle w:val="EMList1"/>
        <w:numPr>
          <w:ilvl w:val="5"/>
          <w:numId w:val="2"/>
        </w:numPr>
      </w:pPr>
      <w:r w:rsidRPr="00EB6EAA">
        <w:t xml:space="preserve"> The enclosure space with the altitude correct factor is within the design capabilities of the largest V500 system</w:t>
      </w:r>
    </w:p>
    <w:p w14:paraId="52ECA557" w14:textId="77777777" w:rsidR="004C1A42" w:rsidRPr="00EB6EAA" w:rsidRDefault="004C1A42" w:rsidP="009F08D6">
      <w:pPr>
        <w:pStyle w:val="EMList1"/>
        <w:numPr>
          <w:ilvl w:val="5"/>
          <w:numId w:val="2"/>
        </w:numPr>
      </w:pPr>
      <w:r w:rsidRPr="00EB6EAA">
        <w:t>It is not practical or cost effective to utilize multiple V500 systems to protect a hazard space over the maximum allowable protected space per the largest V500 design</w:t>
      </w:r>
    </w:p>
    <w:p w14:paraId="5B8FDE09" w14:textId="77777777" w:rsidR="004C1A42" w:rsidRPr="00EB6EAA" w:rsidRDefault="004C1A42" w:rsidP="009F08D6">
      <w:pPr>
        <w:pStyle w:val="EMList1"/>
        <w:numPr>
          <w:ilvl w:val="4"/>
          <w:numId w:val="2"/>
        </w:numPr>
      </w:pPr>
      <w:r w:rsidRPr="00EB6EAA">
        <w:t>Areas where the Vortex™ system components a required to be in a different room that the 18” allowable piping extension of the Vortex™ 500 fire suppression system will not allow the Hybrid Emitters to be positioned correctly in the hazard space from the other side of a membrane.</w:t>
      </w:r>
    </w:p>
    <w:p w14:paraId="3945DA88" w14:textId="77777777" w:rsidR="004C1A42" w:rsidRPr="00EB6EAA" w:rsidRDefault="004C1A42" w:rsidP="009F08D6">
      <w:pPr>
        <w:pStyle w:val="EMList1"/>
        <w:numPr>
          <w:ilvl w:val="4"/>
          <w:numId w:val="2"/>
        </w:numPr>
      </w:pPr>
      <w:r w:rsidRPr="00EB6EAA">
        <w:t>Local or Non-Total flood applications</w:t>
      </w:r>
    </w:p>
    <w:p w14:paraId="47DD7663" w14:textId="77777777" w:rsidR="004C1A42" w:rsidRPr="00EB6EAA" w:rsidRDefault="004C1A42" w:rsidP="009F08D6">
      <w:pPr>
        <w:pStyle w:val="EMList1"/>
        <w:numPr>
          <w:ilvl w:val="4"/>
          <w:numId w:val="2"/>
        </w:numPr>
      </w:pPr>
      <w:r w:rsidRPr="00EB6EAA">
        <w:t>Any application that requires field addition or edits to the V500 design to meet the requirements of the hazard area application</w:t>
      </w:r>
    </w:p>
    <w:p w14:paraId="16138BC9" w14:textId="77777777" w:rsidR="004C1A42" w:rsidRPr="00EB6EAA" w:rsidRDefault="004C1A42" w:rsidP="009F08D6">
      <w:pPr>
        <w:pStyle w:val="EMList1"/>
        <w:numPr>
          <w:ilvl w:val="5"/>
          <w:numId w:val="2"/>
        </w:numPr>
      </w:pPr>
      <w:r w:rsidRPr="00EB6EAA">
        <w:lastRenderedPageBreak/>
        <w:t>Such as: protection of a server room or data center that has a subfloor that does not turn over its total volume of air into the main data center space within one minute.</w:t>
      </w:r>
    </w:p>
    <w:p w14:paraId="06E64D01"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System Operating Sequence:</w:t>
      </w:r>
    </w:p>
    <w:p w14:paraId="4C24CE91"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 xml:space="preserve">Active Release- </w:t>
      </w:r>
    </w:p>
    <w:p w14:paraId="3B157B26"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Upon activation of the detection system, a releasing signal is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This opens all cylinder valves from which the nitrogen gas pressurizes the manifold. The Victaulic Vortex™ 500 fire suppression system is designed to begin to discharge upon pressure detected at the inlet of the panel. When nitrogen flow starts the pressure, transducer senses pressure within the low-pressure piping. The pressure transducer provides a continuous signal to the ARV during actuation to maintain constant discharge pressure.</w:t>
      </w:r>
    </w:p>
    <w:p w14:paraId="42223EEA"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 xml:space="preserve">Extinguishing-agent discharge </w:t>
      </w:r>
      <w:r>
        <w:rPr>
          <w:sz w:val="22"/>
          <w:szCs w:val="22"/>
        </w:rPr>
        <w:t>shall</w:t>
      </w:r>
      <w:r w:rsidRPr="00EB6EAA">
        <w:rPr>
          <w:sz w:val="22"/>
          <w:szCs w:val="22"/>
        </w:rPr>
        <w:t xml:space="preserve"> operate audible alarms and strobe lights inside and outside the protected area.</w:t>
      </w:r>
    </w:p>
    <w:p w14:paraId="36D4763E"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Manual stations shall immediately discharge extinguishing agent when activated</w:t>
      </w:r>
    </w:p>
    <w:p w14:paraId="0FC8FD32"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Operating abort switches (if applicable) will delay extinguishing-agent discharge while being activated, and switches must be reset to prevent agent discharge. Release</w:t>
      </w:r>
      <w:r>
        <w:rPr>
          <w:sz w:val="22"/>
          <w:szCs w:val="22"/>
        </w:rPr>
        <w:t xml:space="preserve"> of</w:t>
      </w:r>
      <w:r w:rsidRPr="00EB6EAA">
        <w:rPr>
          <w:sz w:val="22"/>
          <w:szCs w:val="22"/>
        </w:rPr>
        <w:t xml:space="preserve"> hand pressure on the switch </w:t>
      </w:r>
      <w:r>
        <w:rPr>
          <w:sz w:val="22"/>
          <w:szCs w:val="22"/>
        </w:rPr>
        <w:t>shall initiate</w:t>
      </w:r>
      <w:r w:rsidRPr="00EB6EAA">
        <w:rPr>
          <w:sz w:val="22"/>
          <w:szCs w:val="22"/>
        </w:rPr>
        <w:t xml:space="preserve"> agent discharge</w:t>
      </w:r>
      <w:r>
        <w:rPr>
          <w:sz w:val="22"/>
          <w:szCs w:val="22"/>
        </w:rPr>
        <w:t>.</w:t>
      </w:r>
    </w:p>
    <w:p w14:paraId="2CA62462"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EPO: Will terminate power to protected equipment immediately on actuation.</w:t>
      </w:r>
    </w:p>
    <w:p w14:paraId="7CCE866F"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 xml:space="preserve">Low-Nitrogen Pressure Switch: Initiate </w:t>
      </w:r>
      <w:r>
        <w:rPr>
          <w:sz w:val="22"/>
          <w:szCs w:val="22"/>
        </w:rPr>
        <w:t>supervisory</w:t>
      </w:r>
      <w:r w:rsidRPr="00EB6EAA">
        <w:rPr>
          <w:sz w:val="22"/>
          <w:szCs w:val="22"/>
        </w:rPr>
        <w:t xml:space="preserve"> alarm if sensing less than set pressure.</w:t>
      </w:r>
    </w:p>
    <w:p w14:paraId="1A08516E"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 xml:space="preserve">Valves and Devices </w:t>
      </w:r>
    </w:p>
    <w:p w14:paraId="4C289B3D"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Valves and Devices- The valves used shall be in accordance with the I-VORTEX.500 manual</w:t>
      </w:r>
    </w:p>
    <w:p w14:paraId="4CD8486E"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Combination Panel Active Release</w:t>
      </w:r>
    </w:p>
    <w:p w14:paraId="205F7290"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Panel Electrical Requirements</w:t>
      </w:r>
    </w:p>
    <w:p w14:paraId="08BAC68C"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Operating voltage: 24VDC continuous power supply (20.4-27 VDC), polarity sensitive</w:t>
      </w:r>
    </w:p>
    <w:p w14:paraId="005FA03C"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 xml:space="preserve">Alarm current: 3 amps maximum </w:t>
      </w:r>
    </w:p>
    <w:p w14:paraId="6F92DA30"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Standby current: 210 mA</w:t>
      </w:r>
    </w:p>
    <w:p w14:paraId="6FC94CB6"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Supervisory connections: 500 mA @ 30 VDC resistive load</w:t>
      </w:r>
    </w:p>
    <w:p w14:paraId="1890D24A"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Pressure Transducer- Used with Combination Panel</w:t>
      </w:r>
    </w:p>
    <w:p w14:paraId="06E01137"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Operating voltage: 24VOC nominal, polarity sensitive</w:t>
      </w:r>
    </w:p>
    <w:p w14:paraId="5D012486"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Output: 4-20 mA (0 - 100 psi/0 - 6.9 Bar)</w:t>
      </w:r>
    </w:p>
    <w:p w14:paraId="0FE315B4"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Connections: 18 AWG shielded, twisted pair</w:t>
      </w:r>
    </w:p>
    <w:p w14:paraId="15C458E2"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lastRenderedPageBreak/>
        <w:t>3.8 - 4.2 mA at atmospheric pressure</w:t>
      </w:r>
    </w:p>
    <w:p w14:paraId="28929C50"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Discharge Emitters / Flow Cartridge – Water Pressure 30-psi/2.1-Bar minimum and 100-psi/6.9-Bar maximum</w:t>
      </w:r>
    </w:p>
    <w:p w14:paraId="1B83641C"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 xml:space="preserve">Total Flooding Class A Surface Fire Applications </w:t>
      </w:r>
    </w:p>
    <w:p w14:paraId="1AA43EBF"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 xml:space="preserve">5/8” Series 954 Cavity Foil with .26 </w:t>
      </w:r>
      <w:proofErr w:type="spellStart"/>
      <w:r w:rsidRPr="00EB6EAA">
        <w:rPr>
          <w:sz w:val="22"/>
          <w:szCs w:val="22"/>
        </w:rPr>
        <w:t>gpm</w:t>
      </w:r>
      <w:proofErr w:type="spellEnd"/>
      <w:r w:rsidRPr="00EB6EAA">
        <w:rPr>
          <w:sz w:val="22"/>
          <w:szCs w:val="22"/>
        </w:rPr>
        <w:t xml:space="preserve"> Water Flow Cartridge at a nitrogen design pressure of 25 psi</w:t>
      </w:r>
    </w:p>
    <w:p w14:paraId="2A07DE2F"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Pipe And Fittings</w:t>
      </w:r>
    </w:p>
    <w:p w14:paraId="0AE37EC7"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See I-Vortex Manuals for applications of pipe, tube, fitting, and joining materials.</w:t>
      </w:r>
    </w:p>
    <w:p w14:paraId="548359A1"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Piping: Comply with types and standards listed in NFPA 770 and the I-Vortex Manuals.</w:t>
      </w:r>
    </w:p>
    <w:p w14:paraId="4E125E50"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High Pressure Nitrogen Piping- Fittings meeting or exceeding AFME B31.1 with a pressure rating of at least 3000 psi</w:t>
      </w:r>
    </w:p>
    <w:p w14:paraId="31B90153"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 xml:space="preserve">Low Pressure Nitrogen Piping- Minimum Schedule 10 carbon steel pipe and/or galvanized pipe or Schedule 5 stainless steel pipe for 3-inch/88.9- mm and smaller diameter piping. </w:t>
      </w:r>
    </w:p>
    <w:p w14:paraId="217493F6" w14:textId="101F2771" w:rsidR="004C1A42" w:rsidRPr="00EB6EAA" w:rsidRDefault="004C1A42" w:rsidP="009F08D6">
      <w:pPr>
        <w:pStyle w:val="ListParagraph"/>
        <w:numPr>
          <w:ilvl w:val="3"/>
          <w:numId w:val="2"/>
        </w:numPr>
        <w:spacing w:after="160" w:line="259" w:lineRule="auto"/>
        <w:rPr>
          <w:sz w:val="22"/>
          <w:szCs w:val="22"/>
        </w:rPr>
      </w:pPr>
      <w:r w:rsidRPr="00EB6EAA">
        <w:rPr>
          <w:sz w:val="22"/>
          <w:szCs w:val="22"/>
        </w:rPr>
        <w:t xml:space="preserve">Alternative Nitrogen piping materials may be used, provided that the pipe is rated for </w:t>
      </w:r>
      <w:r w:rsidR="00241506">
        <w:rPr>
          <w:sz w:val="22"/>
          <w:szCs w:val="22"/>
        </w:rPr>
        <w:t>appropriate</w:t>
      </w:r>
      <w:r w:rsidRPr="00EB6EAA">
        <w:rPr>
          <w:sz w:val="22"/>
          <w:szCs w:val="22"/>
        </w:rPr>
        <w:t xml:space="preserve"> service</w:t>
      </w:r>
      <w:r w:rsidR="00241506">
        <w:rPr>
          <w:sz w:val="22"/>
          <w:szCs w:val="22"/>
        </w:rPr>
        <w:t xml:space="preserve"> pressures</w:t>
      </w:r>
      <w:r w:rsidRPr="00EB6EAA">
        <w:rPr>
          <w:sz w:val="22"/>
          <w:szCs w:val="22"/>
        </w:rPr>
        <w:t>, is protected from external damage, and is allowed by the AHJ and all applicable codes and standards.</w:t>
      </w:r>
    </w:p>
    <w:p w14:paraId="105D10CC"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Water Distribution Piping- Comply with types and standards listed in NFPA 770 (Which references NFPA 13)</w:t>
      </w:r>
    </w:p>
    <w:p w14:paraId="5D5A2013"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Water Piping from Flow Control Cartridge- copper tubing or stainless-steel tubing</w:t>
      </w:r>
    </w:p>
    <w:p w14:paraId="658D5B0E"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Alternative water piping/tubing piping materials may be used, provided that the pipe is rated for this service, is protected from external damage, and is allowed by the AHJ and all applicable codes and standards.</w:t>
      </w:r>
    </w:p>
    <w:p w14:paraId="7AEB2656"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Steel Pipe: ASTM A53/A53M, Type S, Grade B or ASTM A106/A106M, [Grade A] [and] [Grade B]; Schedule 40, Schedule 80, and Schedule 160, seamless steel pipe.</w:t>
      </w:r>
    </w:p>
    <w:p w14:paraId="2A2AB3EB" w14:textId="1638DE2A" w:rsidR="004C1A42" w:rsidRPr="00EB6EAA" w:rsidRDefault="004C1A42" w:rsidP="009F08D6">
      <w:pPr>
        <w:pStyle w:val="ListParagraph"/>
        <w:numPr>
          <w:ilvl w:val="3"/>
          <w:numId w:val="2"/>
        </w:numPr>
        <w:spacing w:after="160" w:line="259" w:lineRule="auto"/>
        <w:rPr>
          <w:sz w:val="22"/>
          <w:szCs w:val="22"/>
        </w:rPr>
      </w:pPr>
      <w:r w:rsidRPr="00EB6EAA">
        <w:rPr>
          <w:sz w:val="22"/>
          <w:szCs w:val="22"/>
        </w:rPr>
        <w:t>Steel, Keyed Couplings: UL 213, AWWA C606, approved, and matching steel-pipe dimensions. Include ASTM A536, ductile-iron housing, elastomer rubber gasket, and ASTM A449 compliant steel bolts and nuts.</w:t>
      </w:r>
    </w:p>
    <w:p w14:paraId="43450FD1"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 xml:space="preserve">Rigid Type: Housings cast with offsetting, angle-pattern, bolt pads to provide system rigidity and support and hanging in accordance with NFPA-13. </w:t>
      </w:r>
    </w:p>
    <w:p w14:paraId="184CF1F0" w14:textId="77777777" w:rsidR="006F3349" w:rsidRPr="00EB3FDC" w:rsidRDefault="006F3349" w:rsidP="006F3349">
      <w:pPr>
        <w:pStyle w:val="ListParagraph"/>
        <w:numPr>
          <w:ilvl w:val="5"/>
          <w:numId w:val="2"/>
        </w:numPr>
        <w:spacing w:after="160" w:line="259" w:lineRule="auto"/>
      </w:pPr>
      <w:r w:rsidRPr="00EB3FDC">
        <w:t>Installation-Ready for complete installation without field disassembly with center-leg gasket with pipe stop to ensure proper groove engagement, alignment, and pipe insertion depth. Basis of Design: Victaulic Style 009N, 109 or 107N.</w:t>
      </w:r>
    </w:p>
    <w:p w14:paraId="09701986" w14:textId="77777777" w:rsidR="004C1A42" w:rsidRPr="00EB6EAA" w:rsidRDefault="004C1A42" w:rsidP="009F08D6">
      <w:pPr>
        <w:pStyle w:val="ListParagraph"/>
        <w:numPr>
          <w:ilvl w:val="5"/>
          <w:numId w:val="2"/>
        </w:numPr>
        <w:spacing w:after="160" w:line="259" w:lineRule="auto"/>
        <w:rPr>
          <w:sz w:val="22"/>
          <w:szCs w:val="22"/>
        </w:rPr>
      </w:pPr>
      <w:r w:rsidRPr="00EB6EAA">
        <w:rPr>
          <w:sz w:val="22"/>
          <w:szCs w:val="22"/>
        </w:rPr>
        <w:t>Victaulic Style 005H.</w:t>
      </w:r>
    </w:p>
    <w:p w14:paraId="2C8FCDF2"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lastRenderedPageBreak/>
        <w:t>Flexible Type: For use in locations where vibration attenuation and stress relief are required: Basis of Design: Victaulic Installation-Ready Style 177 or Style 75/77.</w:t>
      </w:r>
    </w:p>
    <w:p w14:paraId="23DC9375"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Threaded Fittings:</w:t>
      </w:r>
    </w:p>
    <w:p w14:paraId="6011C179"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Malleable-Iron Fittings: ASME B16.3, Class 300.</w:t>
      </w:r>
    </w:p>
    <w:p w14:paraId="24383439"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 xml:space="preserve">Fittings Working Pressure: 620 </w:t>
      </w:r>
      <w:proofErr w:type="spellStart"/>
      <w:r w:rsidRPr="00EB6EAA">
        <w:rPr>
          <w:sz w:val="22"/>
          <w:szCs w:val="22"/>
        </w:rPr>
        <w:t>psig</w:t>
      </w:r>
      <w:proofErr w:type="spellEnd"/>
      <w:r w:rsidRPr="00EB6EAA">
        <w:rPr>
          <w:sz w:val="22"/>
          <w:szCs w:val="22"/>
        </w:rPr>
        <w:t xml:space="preserve"> (4278 kPa) minimum.</w:t>
      </w:r>
    </w:p>
    <w:p w14:paraId="1B382C73"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Forged-Steel Welding Fittings: ASME B16.11, Class 3000, socket pattern.</w:t>
      </w:r>
    </w:p>
    <w:p w14:paraId="550E0507"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Steel, Grooved-End Fittings: FM Approved, UL Listed and NRTL listed, ASTM A47/A47M malleable iron or ASTM A536 ductile iron, with dimensions matching steel pipe and ends factory grooved in accordance with AWWA C606.</w:t>
      </w:r>
    </w:p>
    <w:p w14:paraId="15E3C1CD"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Valves</w:t>
      </w:r>
    </w:p>
    <w:p w14:paraId="5D8E8A4C"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General Fluid Panel Requirements:</w:t>
      </w:r>
    </w:p>
    <w:p w14:paraId="405C619F"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Approved by the Authority Having Jurisdiction</w:t>
      </w:r>
    </w:p>
    <w:p w14:paraId="3319ECB3"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Container Valves: Solenoid and manual release handwheel, capable of immediate and total agent discharge and suitable for intended flow capacity.</w:t>
      </w:r>
    </w:p>
    <w:p w14:paraId="049A6400"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Valves in Sections of Closed Piping and Manifolds: Fabricated to prevent entrapment of liquid or install valve and separate pressure relief device.</w:t>
      </w:r>
    </w:p>
    <w:p w14:paraId="31FB06BA"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Valves in Manifolds: Check valve; installed to prevent loss of extinguishing agent when container is removed from manifold.</w:t>
      </w:r>
    </w:p>
    <w:p w14:paraId="063DE64A"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Extinguishing-Agent Containers</w:t>
      </w:r>
    </w:p>
    <w:p w14:paraId="0FB85AC2"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Description: Steel tanks complying with ASME Boiler and Pressure Vessel Code: Section VIII, for unfired pressure vessels. Include minimum working-pressure rating that matches system charging pressure, valve, pressure switch, and pressure gage.</w:t>
      </w:r>
    </w:p>
    <w:p w14:paraId="2E7E8EF5"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Finish: GLOSS BLACK, Gillespie P2100 or equivalent.</w:t>
      </w:r>
    </w:p>
    <w:p w14:paraId="483F159C"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Manifold: Single Piece Carbon Steel High Pressure Nitrogen manifold, painted for corrosion resistance.</w:t>
      </w:r>
    </w:p>
    <w:p w14:paraId="4EFC619D"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Storage-Tank Brackets: Factory- or field-fabricated retaining brackets consisting of steel straps and channels; suitable for container support, maintenance, and tank refilling or replacement.</w:t>
      </w:r>
    </w:p>
    <w:p w14:paraId="53496E7E"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Fire-Extinguishing Agent</w:t>
      </w:r>
    </w:p>
    <w:p w14:paraId="4320AFD0"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Nitrogen Clean Agent: 99.9% quality of nitrogen.</w:t>
      </w:r>
    </w:p>
    <w:p w14:paraId="5805A8CF"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Fire Alarm Control Panels</w:t>
      </w:r>
    </w:p>
    <w:p w14:paraId="6C29FCC4"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Description: FM Approved, UL Listed or NRTL listed, including equipment and features required for testing, supervising, and operating fire-extinguishing system.</w:t>
      </w:r>
    </w:p>
    <w:p w14:paraId="21D2D6CD"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Power Requirements: 120/240 V ac; with electrical contacts for connection to system components and fire-alarm system, and transformer or rectifier as needed to produce power at voltage required for accessories and alarm devices.</w:t>
      </w:r>
    </w:p>
    <w:p w14:paraId="30874A05"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Enclosure: NEMA ICS 6, Type 1, enameled-steel cabinet.</w:t>
      </w:r>
    </w:p>
    <w:p w14:paraId="512F6999"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Mounting: [Recessed flush with surface] [Surface].</w:t>
      </w:r>
    </w:p>
    <w:p w14:paraId="22F2ECDF"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Supervised Circuits: Separate circuits for each independent hazard area.</w:t>
      </w:r>
    </w:p>
    <w:p w14:paraId="5C75FC21"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lastRenderedPageBreak/>
        <w:t>Detection circuits equal to required number of zones, or addressable devices assigned to required number of zones.</w:t>
      </w:r>
    </w:p>
    <w:p w14:paraId="35566504"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Manual pull-station circuit.</w:t>
      </w:r>
    </w:p>
    <w:p w14:paraId="4E6E1AED"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Alarm circuit.</w:t>
      </w:r>
    </w:p>
    <w:p w14:paraId="710BD315"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Release circuit.</w:t>
      </w:r>
    </w:p>
    <w:p w14:paraId="6DADB66D"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Abort circuit.</w:t>
      </w:r>
    </w:p>
    <w:p w14:paraId="3C3C5FB8"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EPO circuit.</w:t>
      </w:r>
    </w:p>
    <w:p w14:paraId="7330F3E0"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Control-Panel Features:</w:t>
      </w:r>
    </w:p>
    <w:p w14:paraId="3808D701"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Electrical contacts for shutting down fans, activating dampers, and operating system electrical devices.</w:t>
      </w:r>
    </w:p>
    <w:p w14:paraId="462D1A4E"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Automatic switchover to standby power at loss of primary power.</w:t>
      </w:r>
    </w:p>
    <w:p w14:paraId="4B56ED1D"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Storage container, low-pressure indicator.</w:t>
      </w:r>
    </w:p>
    <w:p w14:paraId="60D35603"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 xml:space="preserve">Service </w:t>
      </w:r>
      <w:proofErr w:type="gramStart"/>
      <w:r w:rsidRPr="00EB6EAA">
        <w:rPr>
          <w:sz w:val="22"/>
          <w:szCs w:val="22"/>
        </w:rPr>
        <w:t>disconnect</w:t>
      </w:r>
      <w:proofErr w:type="gramEnd"/>
      <w:r w:rsidRPr="00EB6EAA">
        <w:rPr>
          <w:sz w:val="22"/>
          <w:szCs w:val="22"/>
        </w:rPr>
        <w:t xml:space="preserve"> to interrupt system operation for maintenance with visual status indication on the annunciator panel.</w:t>
      </w:r>
    </w:p>
    <w:p w14:paraId="2697A12F"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Annunciator Panel: Graphic type showing protected, hazard-area plans, as well as locations of detectors and abort, EPO, and manual stations. Include lamps to indicate device-initiating alarm, electrical contacts for connection to control panel, and stainless steel or aluminum enclosure.</w:t>
      </w:r>
    </w:p>
    <w:p w14:paraId="220F57BA"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 xml:space="preserve">Standby Power: [Sealed lead calcium] [Sealed, valve-regulated, recombinant lead acid] [Vented, wet-cell pocket, plate nickel cadmium] batteries with capacity to operate system for 24 hours and alarm for minimum of 15 minutes. Include automatic battery charger that has a varying charging rate between trickle and high depending on battery voltage, and that </w:t>
      </w:r>
      <w:proofErr w:type="gramStart"/>
      <w:r w:rsidRPr="00EB6EAA">
        <w:rPr>
          <w:sz w:val="22"/>
          <w:szCs w:val="22"/>
        </w:rPr>
        <w:t>is capable of maintaining</w:t>
      </w:r>
      <w:proofErr w:type="gramEnd"/>
      <w:r w:rsidRPr="00EB6EAA">
        <w:rPr>
          <w:sz w:val="22"/>
          <w:szCs w:val="22"/>
        </w:rPr>
        <w:t xml:space="preserve"> batteries fully charged. Include manual voltage control, dc voltmeter, dc ammeter, electrical contacts for connection to control panel, automatic transfer switch, and suitable enclosure.</w:t>
      </w:r>
    </w:p>
    <w:p w14:paraId="41A53145" w14:textId="77777777" w:rsidR="004C1A42" w:rsidRPr="00EB6EAA" w:rsidRDefault="004C1A42" w:rsidP="009F08D6">
      <w:pPr>
        <w:pStyle w:val="ListParagraph"/>
        <w:numPr>
          <w:ilvl w:val="0"/>
          <w:numId w:val="3"/>
        </w:numPr>
        <w:spacing w:after="160" w:line="259" w:lineRule="auto"/>
        <w:rPr>
          <w:sz w:val="22"/>
          <w:szCs w:val="22"/>
        </w:rPr>
      </w:pPr>
      <w:r w:rsidRPr="00EB6EAA">
        <w:rPr>
          <w:sz w:val="22"/>
          <w:szCs w:val="22"/>
        </w:rPr>
        <w:t>Detection Devices</w:t>
      </w:r>
    </w:p>
    <w:p w14:paraId="795FEE78"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Description: Comply with NFPA 770, NFPA 72, and UL 268; 24 V dc, nominal.</w:t>
      </w:r>
    </w:p>
    <w:p w14:paraId="704C5997"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Ionization Detectors: Dual-chamber type, having sampling and referencing chambers, with smoke-sensing element.</w:t>
      </w:r>
    </w:p>
    <w:p w14:paraId="3C15FA8E"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Photoelectric Detectors: LED light source and silicon photodiode receiving element.</w:t>
      </w:r>
    </w:p>
    <w:p w14:paraId="3239E770"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Remote Air-Sampling Detector System: Includes air-sampling pipe network, laser-based photoelectric detector, sample transport fan, and control unit.</w:t>
      </w:r>
    </w:p>
    <w:p w14:paraId="727082F5"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Pipe Network: CPVC tubing connects control unit with calibrated sampling holes.</w:t>
      </w:r>
    </w:p>
    <w:p w14:paraId="615CF7F3"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Smoke Detector: Particle-counting type with continuous laser beam. Sensitivity adjustable to a minimum of four preset values.</w:t>
      </w:r>
    </w:p>
    <w:p w14:paraId="46A1045C"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 xml:space="preserve">Sample Transport Fan: Centrifugal type, creating a minimum static pressure of 0.05-inch </w:t>
      </w:r>
      <w:proofErr w:type="spellStart"/>
      <w:r w:rsidRPr="00EB6EAA">
        <w:rPr>
          <w:sz w:val="22"/>
          <w:szCs w:val="22"/>
        </w:rPr>
        <w:t>wg</w:t>
      </w:r>
      <w:proofErr w:type="spellEnd"/>
      <w:r w:rsidRPr="00EB6EAA">
        <w:rPr>
          <w:sz w:val="22"/>
          <w:szCs w:val="22"/>
        </w:rPr>
        <w:t xml:space="preserve"> (12.5 Pa) at all sampling ports.</w:t>
      </w:r>
    </w:p>
    <w:p w14:paraId="2A312A85"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lastRenderedPageBreak/>
        <w:t xml:space="preserve">Other detection devices installed in accordance with their Listing with approval from the AHJ </w:t>
      </w:r>
    </w:p>
    <w:p w14:paraId="3B38F5C7"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Control Unit: Multizone unit as indicated on Drawings. Provides same system power supply, supervision, and alarm features as specified for the control panel plus separate trouble indication for airflow and detector problems.</w:t>
      </w:r>
    </w:p>
    <w:p w14:paraId="13399562"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Signals to the Central Fire-Alarm Control Panel: Any type of local system trouble is reported to central fire-alarm control panel as a composite "trouble" signal. Alarms on each system zone are individually reported to central fire-alarm control panel as separately identified zones.</w:t>
      </w:r>
    </w:p>
    <w:p w14:paraId="23248C06" w14:textId="77777777" w:rsidR="004C1A42" w:rsidRPr="00EB6EAA" w:rsidRDefault="004C1A42" w:rsidP="009F08D6">
      <w:pPr>
        <w:pStyle w:val="ListParagraph"/>
        <w:numPr>
          <w:ilvl w:val="0"/>
          <w:numId w:val="3"/>
        </w:numPr>
        <w:spacing w:after="160" w:line="259" w:lineRule="auto"/>
        <w:rPr>
          <w:sz w:val="22"/>
          <w:szCs w:val="22"/>
        </w:rPr>
      </w:pPr>
      <w:r w:rsidRPr="00EB6EAA">
        <w:rPr>
          <w:sz w:val="22"/>
          <w:szCs w:val="22"/>
        </w:rPr>
        <w:t>Manual Stations</w:t>
      </w:r>
    </w:p>
    <w:p w14:paraId="4C1C773A"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Description: [Surface] [Semi recessed] FM Approved, UL Listed or NRTL listed, with clear plastic hinged cover, 120-</w:t>
      </w:r>
      <w:proofErr w:type="gramStart"/>
      <w:r>
        <w:rPr>
          <w:sz w:val="22"/>
          <w:szCs w:val="22"/>
        </w:rPr>
        <w:t>VAC</w:t>
      </w:r>
      <w:proofErr w:type="gramEnd"/>
      <w:r w:rsidRPr="00EB6EAA">
        <w:rPr>
          <w:sz w:val="22"/>
          <w:szCs w:val="22"/>
        </w:rPr>
        <w:t xml:space="preserve"> or low-voltage compatible with controls. Include contacts for connection to control panel.</w:t>
      </w:r>
    </w:p>
    <w:p w14:paraId="7B16DCFC"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Manual Release: "MANUAL RELEASE" caption, and red finish. Unit can manually discharge extinguishing agent with operating device that remains engaged until unlocked.</w:t>
      </w:r>
    </w:p>
    <w:p w14:paraId="3728A57C"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Abort Switch: "ABORT" caption, momentary contact, with green finish.</w:t>
      </w:r>
    </w:p>
    <w:p w14:paraId="2D615C4A"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EPO Switch: "EPO" caption, with yellow finish.</w:t>
      </w:r>
    </w:p>
    <w:p w14:paraId="0B1E5F59" w14:textId="77777777" w:rsidR="004C1A42" w:rsidRPr="00EB6EAA" w:rsidRDefault="004C1A42" w:rsidP="009F08D6">
      <w:pPr>
        <w:pStyle w:val="ListParagraph"/>
        <w:numPr>
          <w:ilvl w:val="0"/>
          <w:numId w:val="3"/>
        </w:numPr>
        <w:spacing w:after="160" w:line="259" w:lineRule="auto"/>
        <w:rPr>
          <w:sz w:val="22"/>
          <w:szCs w:val="22"/>
        </w:rPr>
      </w:pPr>
      <w:r w:rsidRPr="00EB6EAA">
        <w:rPr>
          <w:sz w:val="22"/>
          <w:szCs w:val="22"/>
        </w:rPr>
        <w:t>Switches</w:t>
      </w:r>
    </w:p>
    <w:p w14:paraId="273C925B"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Description: FM Approved, UL Listed or NRTL listed, where available, [120-V] &lt;Insert value&gt; ac or low- voltage compatible with controls. Include contacts for connection to control panel.</w:t>
      </w:r>
    </w:p>
    <w:p w14:paraId="59C7694D"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Low-Agent Pressure Switches: Pneumatic operation.</w:t>
      </w:r>
    </w:p>
    <w:p w14:paraId="521F8A4F"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Power Transfer Switches: Key-operation selector, for transfer of release circuit signal from main supply to reserve supply.</w:t>
      </w:r>
    </w:p>
    <w:p w14:paraId="1F09E2A6"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Disconnect Switch installed in accordance with NFPA 770 and NFPA 72</w:t>
      </w:r>
    </w:p>
    <w:p w14:paraId="5948CE00" w14:textId="77777777" w:rsidR="004C1A42" w:rsidRPr="00EB6EAA" w:rsidRDefault="004C1A42" w:rsidP="009F08D6">
      <w:pPr>
        <w:pStyle w:val="ListParagraph"/>
        <w:numPr>
          <w:ilvl w:val="0"/>
          <w:numId w:val="3"/>
        </w:numPr>
        <w:spacing w:after="160" w:line="259" w:lineRule="auto"/>
        <w:rPr>
          <w:sz w:val="22"/>
          <w:szCs w:val="22"/>
        </w:rPr>
      </w:pPr>
      <w:r w:rsidRPr="00EB6EAA">
        <w:rPr>
          <w:sz w:val="22"/>
          <w:szCs w:val="22"/>
        </w:rPr>
        <w:t>Alarm Devices</w:t>
      </w:r>
    </w:p>
    <w:p w14:paraId="5913ABB7"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Description: FM Approved, UL Listed or NRTL listed, low voltage, and surface mounting. Comply with requirements in Section 284621.11 "Addressable Fire-Alarm Systems" or Section 284621.13 "Conventional Fire-Alarm Systems" for alarm and monitoring devices.</w:t>
      </w:r>
    </w:p>
    <w:p w14:paraId="62AF83E3"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Bells: Minimum 6-inch (150-mm) diameter.</w:t>
      </w:r>
    </w:p>
    <w:p w14:paraId="026397B3"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Horns: 90 to 94 dBA.</w:t>
      </w:r>
    </w:p>
    <w:p w14:paraId="41BF67A6"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Strobe Lights: Translucent lens, with "FIRE" or similar caption.</w:t>
      </w:r>
    </w:p>
    <w:p w14:paraId="66F818EE"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Oxygen Deficiency Monitor.</w:t>
      </w:r>
    </w:p>
    <w:p w14:paraId="56E15A32"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Sampling Method and Range: Diffusion, zero to 25 percent O2.</w:t>
      </w:r>
    </w:p>
    <w:p w14:paraId="1E4E140C"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24 V dc.</w:t>
      </w:r>
    </w:p>
    <w:p w14:paraId="3463C8B5"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Wall mounted with bracket.</w:t>
      </w:r>
    </w:p>
    <w:p w14:paraId="73179201"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Built-in audible alarm 90 dBA.</w:t>
      </w:r>
    </w:p>
    <w:p w14:paraId="6A4930CA" w14:textId="77777777" w:rsidR="004C1A42" w:rsidRPr="00EB6EAA" w:rsidRDefault="004C1A42" w:rsidP="009F08D6">
      <w:pPr>
        <w:pStyle w:val="ListParagraph"/>
        <w:numPr>
          <w:ilvl w:val="4"/>
          <w:numId w:val="2"/>
        </w:numPr>
        <w:spacing w:after="160" w:line="259" w:lineRule="auto"/>
        <w:rPr>
          <w:sz w:val="22"/>
          <w:szCs w:val="22"/>
        </w:rPr>
      </w:pPr>
      <w:r w:rsidRPr="00EB6EAA">
        <w:rPr>
          <w:sz w:val="22"/>
          <w:szCs w:val="22"/>
        </w:rPr>
        <w:t>Backlit LCD.</w:t>
      </w:r>
    </w:p>
    <w:p w14:paraId="14E19C1D" w14:textId="77777777" w:rsidR="004C1A42" w:rsidRPr="00EB6EAA" w:rsidRDefault="004C1A42" w:rsidP="009F08D6">
      <w:pPr>
        <w:pStyle w:val="ListParagraph"/>
        <w:numPr>
          <w:ilvl w:val="0"/>
          <w:numId w:val="2"/>
        </w:numPr>
        <w:spacing w:after="160" w:line="259" w:lineRule="auto"/>
        <w:rPr>
          <w:sz w:val="22"/>
          <w:szCs w:val="22"/>
        </w:rPr>
      </w:pPr>
      <w:r w:rsidRPr="00EB6EAA">
        <w:rPr>
          <w:sz w:val="22"/>
          <w:szCs w:val="22"/>
        </w:rPr>
        <w:t>Part 3 - Execution</w:t>
      </w:r>
    </w:p>
    <w:p w14:paraId="2E2EB923"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Examination</w:t>
      </w:r>
    </w:p>
    <w:p w14:paraId="51813AD2"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Examine areas and conditions, with Installer present, for compliance with enclosure integrity requirements, installation tolerances, and other conditions affecting performance of the work in accordance with NFPA 770.</w:t>
      </w:r>
    </w:p>
    <w:p w14:paraId="65BA7296"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lastRenderedPageBreak/>
        <w:t>Proceed with installation only after unsatisfactory conditions have been corrected.</w:t>
      </w:r>
    </w:p>
    <w:p w14:paraId="3CCADEB3"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Hybrid System Installation</w:t>
      </w:r>
    </w:p>
    <w:p w14:paraId="4DCE5CAE" w14:textId="77777777" w:rsidR="004C1A42" w:rsidRDefault="004C1A42" w:rsidP="009F08D6">
      <w:pPr>
        <w:pStyle w:val="ListParagraph"/>
        <w:numPr>
          <w:ilvl w:val="2"/>
          <w:numId w:val="2"/>
        </w:numPr>
        <w:spacing w:after="160" w:line="259" w:lineRule="auto"/>
        <w:rPr>
          <w:sz w:val="22"/>
          <w:szCs w:val="22"/>
        </w:rPr>
      </w:pPr>
      <w:r>
        <w:rPr>
          <w:sz w:val="22"/>
          <w:szCs w:val="22"/>
        </w:rPr>
        <w:t>Installation shall only be permitted by a Certified Vortex Integrator</w:t>
      </w:r>
    </w:p>
    <w:p w14:paraId="00C66F62"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Install Hybrid containers, piping, and other components level and plumb, in accordance with manufacturers' written instructions.</w:t>
      </w:r>
    </w:p>
    <w:p w14:paraId="57ABB2DB"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Hybrid Container Mounting:</w:t>
      </w:r>
    </w:p>
    <w:p w14:paraId="70F9547F"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Install Hybrid containers on cast-in-place concrete equipment bases. Comply with requirements for equipment bases and foundations specified in Section 033000 "Cast-in- Place Concrete."</w:t>
      </w:r>
    </w:p>
    <w:p w14:paraId="282B88BF"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Comply with requirements for vibration isolation and seismic-control devices specified in Section 210548 "Vibration and Seismic Controls for Fire-Suppression Piping and Equipment."</w:t>
      </w:r>
    </w:p>
    <w:p w14:paraId="2929BD90"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Comply with requirements for vibration isolation devices specified in Section 210548.13 "Vibration Controls for Fire-Suppression Piping and Equipment."</w:t>
      </w:r>
    </w:p>
    <w:p w14:paraId="4159FD4D"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 xml:space="preserve">Grooved Piping Joints: Groove pipe ends in accordance with AWWA C606 dimensions. Assemble grooved-end steel pipe and steel, grooved-end fittings with steel, keyed </w:t>
      </w:r>
      <w:proofErr w:type="gramStart"/>
      <w:r w:rsidRPr="00EB6EAA">
        <w:rPr>
          <w:sz w:val="22"/>
          <w:szCs w:val="22"/>
        </w:rPr>
        <w:t>couplings</w:t>
      </w:r>
      <w:proofErr w:type="gramEnd"/>
      <w:r w:rsidRPr="00EB6EAA">
        <w:rPr>
          <w:sz w:val="22"/>
          <w:szCs w:val="22"/>
        </w:rPr>
        <w:t xml:space="preserve"> and lubricant in accordance with manufacturer's written instructions.</w:t>
      </w:r>
    </w:p>
    <w:p w14:paraId="34575175"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Install pipe and fittings, valves, and discharge Emitters in accordance with requirements listed in NFPA 770, Section "Distribution."</w:t>
      </w:r>
    </w:p>
    <w:p w14:paraId="14DCD138"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Install valves designed to prevent entrapment of liquid or install pressure relief devices in valve sections of piping systems.</w:t>
      </w:r>
    </w:p>
    <w:p w14:paraId="76531168"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Support piping using supports and methods in accordance with NFPA 13.</w:t>
      </w:r>
    </w:p>
    <w:p w14:paraId="6BCFA83B"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Install seismic restraints for extinguishing-agent piping systems.</w:t>
      </w:r>
    </w:p>
    <w:p w14:paraId="1875DD8A"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Install control panels, detection system components, alarms, and accessories, in accordance with requirements listed in NFPA 770, Section "Detection, Actuation, and Control Systems," as required for supervised system application.</w:t>
      </w:r>
    </w:p>
    <w:p w14:paraId="7CC0C594" w14:textId="77777777" w:rsidR="004C1A42" w:rsidRPr="00EB6EAA" w:rsidRDefault="004C1A42" w:rsidP="009F08D6">
      <w:pPr>
        <w:pStyle w:val="ListParagraph"/>
        <w:numPr>
          <w:ilvl w:val="0"/>
          <w:numId w:val="2"/>
        </w:numPr>
        <w:spacing w:after="160" w:line="259" w:lineRule="auto"/>
        <w:rPr>
          <w:sz w:val="22"/>
          <w:szCs w:val="22"/>
        </w:rPr>
      </w:pPr>
      <w:r w:rsidRPr="00EB6EAA">
        <w:rPr>
          <w:sz w:val="22"/>
          <w:szCs w:val="22"/>
        </w:rPr>
        <w:t>Piping Connections</w:t>
      </w:r>
    </w:p>
    <w:p w14:paraId="0A68C5CA"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Drawings indicate general arrangement of piping, fittings, and specialties.</w:t>
      </w:r>
    </w:p>
    <w:p w14:paraId="70789625"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Where installing piping adjacent to equipment, allow space for service and maintenance.</w:t>
      </w:r>
    </w:p>
    <w:p w14:paraId="5D24F962" w14:textId="77777777" w:rsidR="004C1A42" w:rsidRPr="00EB6EAA" w:rsidRDefault="004C1A42" w:rsidP="009F08D6">
      <w:pPr>
        <w:pStyle w:val="ListParagraph"/>
        <w:numPr>
          <w:ilvl w:val="0"/>
          <w:numId w:val="2"/>
        </w:numPr>
        <w:spacing w:after="160" w:line="259" w:lineRule="auto"/>
        <w:rPr>
          <w:sz w:val="22"/>
          <w:szCs w:val="22"/>
        </w:rPr>
      </w:pPr>
      <w:r w:rsidRPr="00EB6EAA">
        <w:rPr>
          <w:sz w:val="22"/>
          <w:szCs w:val="22"/>
        </w:rPr>
        <w:t>Electrical Connections</w:t>
      </w:r>
    </w:p>
    <w:p w14:paraId="6E800CD3"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Connect wiring in accordance with Section 260519 "Low-Voltage Electrical Power Conductors and Cables."</w:t>
      </w:r>
    </w:p>
    <w:p w14:paraId="4178EDE4"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Ground equipment in accordance with Section 260526 "Grounding and Bonding for Electrical Systems."</w:t>
      </w:r>
    </w:p>
    <w:p w14:paraId="574B2BC1"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Install electrical devices furnished by manufacturer, but not factory mounted, in accordance with NFPA 70 and NECA 1.</w:t>
      </w:r>
    </w:p>
    <w:p w14:paraId="79DA627A"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Install nameplate for each electrical connection, indicating electrical equipment designation and circuit number feeding connection.</w:t>
      </w:r>
    </w:p>
    <w:p w14:paraId="4A00DA94"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Connect electrical devices to control panel and to building's fire-alarm system. Electrical power, wiring, and devices are specified in Section 284621.11 "Addressable Fire-Alarm Systems" or Section 284621.13 "Conventional Fire-Alarm Systems."</w:t>
      </w:r>
    </w:p>
    <w:p w14:paraId="1DCE4E23" w14:textId="77777777" w:rsidR="004C1A42" w:rsidRPr="00EB6EAA" w:rsidRDefault="004C1A42" w:rsidP="009F08D6">
      <w:pPr>
        <w:pStyle w:val="ListParagraph"/>
        <w:numPr>
          <w:ilvl w:val="0"/>
          <w:numId w:val="2"/>
        </w:numPr>
        <w:spacing w:after="160" w:line="259" w:lineRule="auto"/>
        <w:rPr>
          <w:sz w:val="22"/>
          <w:szCs w:val="22"/>
        </w:rPr>
      </w:pPr>
      <w:r w:rsidRPr="00EB6EAA">
        <w:rPr>
          <w:sz w:val="22"/>
          <w:szCs w:val="22"/>
        </w:rPr>
        <w:t>Control Connections</w:t>
      </w:r>
    </w:p>
    <w:p w14:paraId="0E985D8C"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lastRenderedPageBreak/>
        <w:t>Install control and electrical power wiring to field-mounted control devices.</w:t>
      </w:r>
    </w:p>
    <w:p w14:paraId="06498C9E"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Connect control wiring in accordance with Section 260523 "Control-Voltage Electrical Power Cables."</w:t>
      </w:r>
    </w:p>
    <w:p w14:paraId="4EA44B2F" w14:textId="77777777" w:rsidR="004C1A42" w:rsidRPr="00EB6EAA" w:rsidRDefault="004C1A42" w:rsidP="009F08D6">
      <w:pPr>
        <w:pStyle w:val="ListParagraph"/>
        <w:numPr>
          <w:ilvl w:val="0"/>
          <w:numId w:val="2"/>
        </w:numPr>
        <w:spacing w:after="160" w:line="259" w:lineRule="auto"/>
        <w:rPr>
          <w:sz w:val="22"/>
          <w:szCs w:val="22"/>
        </w:rPr>
      </w:pPr>
      <w:r w:rsidRPr="00EB6EAA">
        <w:rPr>
          <w:sz w:val="22"/>
          <w:szCs w:val="22"/>
        </w:rPr>
        <w:t>Identification</w:t>
      </w:r>
    </w:p>
    <w:p w14:paraId="0FE53659"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Identify system components and equipment. Comply with requirements for identification specified in Section 210553 "Identification for Fire-Suppression Piping and Equipment."</w:t>
      </w:r>
    </w:p>
    <w:p w14:paraId="6762B9DD"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Identify piping, extinguishing-agent containers, other equipment, and panels in accordance with NFPA 770.</w:t>
      </w:r>
    </w:p>
    <w:p w14:paraId="518142B4"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Install signs at entry doors for protected areas to warn occupants that they are entering a room protected with a Hybrid fire-extinguishing system.</w:t>
      </w:r>
    </w:p>
    <w:p w14:paraId="66E8D10D"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Install signs at entry doors to advise persons outside the room the meaning of horn(s), bell(s), and strobe light(s) outside the protected space.</w:t>
      </w:r>
    </w:p>
    <w:p w14:paraId="0CA8BB83" w14:textId="77777777" w:rsidR="004C1A42" w:rsidRPr="00EB6EAA" w:rsidRDefault="004C1A42" w:rsidP="009F08D6">
      <w:pPr>
        <w:pStyle w:val="ListParagraph"/>
        <w:numPr>
          <w:ilvl w:val="0"/>
          <w:numId w:val="2"/>
        </w:numPr>
        <w:spacing w:after="160" w:line="259" w:lineRule="auto"/>
        <w:rPr>
          <w:sz w:val="22"/>
          <w:szCs w:val="22"/>
        </w:rPr>
      </w:pPr>
      <w:r w:rsidRPr="00EB6EAA">
        <w:rPr>
          <w:sz w:val="22"/>
          <w:szCs w:val="22"/>
        </w:rPr>
        <w:t>Field Quality Control</w:t>
      </w:r>
    </w:p>
    <w:p w14:paraId="402E579F"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Testing Agency: [Owner will engage] [Engage] a qualified integrator testing agency to perform tests and inspections.</w:t>
      </w:r>
    </w:p>
    <w:p w14:paraId="4CE45018"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Manufacturer's Field Service: Engage a factory-authorized integrator to test and inspect components, assemblies, and equipment installations, including connections.</w:t>
      </w:r>
    </w:p>
    <w:p w14:paraId="6DE180AF"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Perform tests and inspections[ with the assistance of a factory-authorized service representative].</w:t>
      </w:r>
    </w:p>
    <w:p w14:paraId="7F129CDA"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Tests and Inspections:</w:t>
      </w:r>
    </w:p>
    <w:p w14:paraId="08184AF7"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After installing Hybrid fire-extinguishing system and after electrical circuitry has been  energized,  test  for  compliance  in  accordance  with  requirements  listed  in NFPA 770, Section "Approval of Installation."</w:t>
      </w:r>
    </w:p>
    <w:p w14:paraId="27008B45"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Hybrid fire-extinguishing system and associated protected enclosure will be considered defective if either does not pass required tests and inspections.</w:t>
      </w:r>
    </w:p>
    <w:p w14:paraId="5AEBAFFB"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Prepare test and inspection reports in accordance with requirements listed in NFPA 770, Section "Installation Acceptance."</w:t>
      </w:r>
    </w:p>
    <w:p w14:paraId="1ECB08D3"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Cleaning</w:t>
      </w:r>
    </w:p>
    <w:p w14:paraId="6E1E5BEB"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Each pipe section shall be cleaned internally after preparation and before assembly by means of swabbing, using a suitable nonflammable cleaner. Pipe network shall be free of particulate matter and oil residue before installing Emitters or discharge devices.</w:t>
      </w:r>
    </w:p>
    <w:p w14:paraId="1DB93B56"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Operational Condition System Filling</w:t>
      </w:r>
    </w:p>
    <w:p w14:paraId="66261A8C"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Preparation:</w:t>
      </w:r>
    </w:p>
    <w:p w14:paraId="5ED55190"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Verify that Hybrid fire-extinguishing system and protected enclosure have passed all required tests and inspections in accordance with NFPA 770.</w:t>
      </w:r>
    </w:p>
    <w:p w14:paraId="38A6DFF3"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Verify that Hybrid fire-extinguishing piping system installation is completed and cleaned.</w:t>
      </w:r>
    </w:p>
    <w:p w14:paraId="74EA308F"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Verify complete enclosure integrity.</w:t>
      </w:r>
    </w:p>
    <w:p w14:paraId="5755E27F"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Verify operation of ventilation and exhaust systems.</w:t>
      </w:r>
    </w:p>
    <w:p w14:paraId="14DF086B"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Filling Procedures:</w:t>
      </w:r>
    </w:p>
    <w:p w14:paraId="4B52A206"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lastRenderedPageBreak/>
        <w:t>Fill Hybrid fire-extinguishing containers with extinguishing agent and pressurize to indicated charging pressure.</w:t>
      </w:r>
    </w:p>
    <w:p w14:paraId="3C1EA003"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Install filled containers.</w:t>
      </w:r>
    </w:p>
    <w:p w14:paraId="7DED7924"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Energize circuits.</w:t>
      </w:r>
    </w:p>
    <w:p w14:paraId="1A4D430E" w14:textId="77777777" w:rsidR="004C1A42" w:rsidRPr="00EB6EAA" w:rsidRDefault="004C1A42" w:rsidP="009F08D6">
      <w:pPr>
        <w:pStyle w:val="ListParagraph"/>
        <w:numPr>
          <w:ilvl w:val="3"/>
          <w:numId w:val="2"/>
        </w:numPr>
        <w:spacing w:after="160" w:line="259" w:lineRule="auto"/>
        <w:rPr>
          <w:sz w:val="22"/>
          <w:szCs w:val="22"/>
        </w:rPr>
      </w:pPr>
      <w:r w:rsidRPr="00EB6EAA">
        <w:rPr>
          <w:sz w:val="22"/>
          <w:szCs w:val="22"/>
        </w:rPr>
        <w:t>Adjust operating controls.</w:t>
      </w:r>
    </w:p>
    <w:p w14:paraId="211235FF"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Demonstration</w:t>
      </w:r>
    </w:p>
    <w:p w14:paraId="52AE3D2B" w14:textId="77777777" w:rsidR="004C1A42" w:rsidRPr="00EB6EAA" w:rsidRDefault="004C1A42" w:rsidP="009F08D6">
      <w:pPr>
        <w:pStyle w:val="ListParagraph"/>
        <w:numPr>
          <w:ilvl w:val="2"/>
          <w:numId w:val="2"/>
        </w:numPr>
        <w:spacing w:after="160" w:line="259" w:lineRule="auto"/>
        <w:rPr>
          <w:sz w:val="22"/>
          <w:szCs w:val="22"/>
        </w:rPr>
      </w:pPr>
      <w:r w:rsidRPr="00EB6EAA">
        <w:rPr>
          <w:sz w:val="22"/>
          <w:szCs w:val="22"/>
        </w:rPr>
        <w:t>[Engage a factory-authorized integrator representative to train] [Train] Owner's maintenance personnel to adjust, operate, and maintain Hybrid fire-extinguishing systems.</w:t>
      </w:r>
    </w:p>
    <w:p w14:paraId="016D8A0B" w14:textId="77777777" w:rsidR="004C1A42" w:rsidRPr="00EB6EAA" w:rsidRDefault="004C1A42" w:rsidP="009F08D6">
      <w:pPr>
        <w:pStyle w:val="ListParagraph"/>
        <w:numPr>
          <w:ilvl w:val="1"/>
          <w:numId w:val="2"/>
        </w:numPr>
        <w:spacing w:after="160" w:line="259" w:lineRule="auto"/>
        <w:rPr>
          <w:sz w:val="22"/>
          <w:szCs w:val="22"/>
        </w:rPr>
      </w:pPr>
      <w:r w:rsidRPr="00EB6EAA">
        <w:rPr>
          <w:sz w:val="22"/>
          <w:szCs w:val="22"/>
        </w:rPr>
        <w:t>END OF SECTION 212200</w:t>
      </w:r>
    </w:p>
    <w:p w14:paraId="6B83E9E3" w14:textId="4F09AD0A" w:rsidR="00706A1A" w:rsidRDefault="00706A1A" w:rsidP="004C1A42"/>
    <w:p w14:paraId="414040B5" w14:textId="58FF450E" w:rsidR="00A46CB3" w:rsidRDefault="00A46CB3" w:rsidP="004C1A42"/>
    <w:tbl>
      <w:tblPr>
        <w:tblStyle w:val="TableGrid"/>
        <w:tblW w:w="0" w:type="auto"/>
        <w:tblLook w:val="04A0" w:firstRow="1" w:lastRow="0" w:firstColumn="1" w:lastColumn="0" w:noHBand="0" w:noVBand="1"/>
      </w:tblPr>
      <w:tblGrid>
        <w:gridCol w:w="805"/>
        <w:gridCol w:w="1440"/>
        <w:gridCol w:w="7105"/>
      </w:tblGrid>
      <w:tr w:rsidR="00A46CB3" w14:paraId="7DD22309" w14:textId="77777777" w:rsidTr="00D64734">
        <w:tc>
          <w:tcPr>
            <w:tcW w:w="9350" w:type="dxa"/>
            <w:gridSpan w:val="3"/>
          </w:tcPr>
          <w:p w14:paraId="7EF450F1" w14:textId="2EB6957E" w:rsidR="00A46CB3" w:rsidRDefault="00A46CB3" w:rsidP="004C1A42">
            <w:r>
              <w:t>Revision History</w:t>
            </w:r>
          </w:p>
        </w:tc>
      </w:tr>
      <w:tr w:rsidR="00A46CB3" w14:paraId="546277E4" w14:textId="77777777" w:rsidTr="00A46CB3">
        <w:tc>
          <w:tcPr>
            <w:tcW w:w="805" w:type="dxa"/>
            <w:vAlign w:val="center"/>
          </w:tcPr>
          <w:p w14:paraId="01970948" w14:textId="2FCB35AC" w:rsidR="00A46CB3" w:rsidRDefault="00A46CB3" w:rsidP="00A46CB3">
            <w:pPr>
              <w:jc w:val="center"/>
            </w:pPr>
            <w:r>
              <w:t>A</w:t>
            </w:r>
          </w:p>
        </w:tc>
        <w:tc>
          <w:tcPr>
            <w:tcW w:w="1440" w:type="dxa"/>
            <w:vAlign w:val="center"/>
          </w:tcPr>
          <w:p w14:paraId="1A4BD01F" w14:textId="6F78F471" w:rsidR="00A46CB3" w:rsidRDefault="00A46CB3" w:rsidP="00A46CB3">
            <w:pPr>
              <w:jc w:val="center"/>
            </w:pPr>
            <w:r>
              <w:t>7/14/2022</w:t>
            </w:r>
          </w:p>
        </w:tc>
        <w:tc>
          <w:tcPr>
            <w:tcW w:w="7105" w:type="dxa"/>
          </w:tcPr>
          <w:p w14:paraId="697BFB3E" w14:textId="661A8C96" w:rsidR="00A46CB3" w:rsidRDefault="00A46CB3" w:rsidP="004C1A42">
            <w:r>
              <w:t>Spec rewritten to current product line / standards.</w:t>
            </w:r>
          </w:p>
        </w:tc>
      </w:tr>
    </w:tbl>
    <w:p w14:paraId="54091A1A" w14:textId="77777777" w:rsidR="00A46CB3" w:rsidRPr="004C1A42" w:rsidRDefault="00A46CB3" w:rsidP="004C1A42"/>
    <w:sectPr w:rsidR="00A46CB3" w:rsidRPr="004C1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EC33" w14:textId="77777777" w:rsidR="009035F3" w:rsidRDefault="009035F3" w:rsidP="00706A1A">
      <w:r>
        <w:separator/>
      </w:r>
    </w:p>
  </w:endnote>
  <w:endnote w:type="continuationSeparator" w:id="0">
    <w:p w14:paraId="7788F9E0" w14:textId="77777777" w:rsidR="009035F3" w:rsidRDefault="009035F3" w:rsidP="0070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2ED2" w14:textId="77777777" w:rsidR="00CE6147" w:rsidRDefault="00CE614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DEB1662" w14:textId="0271CB98" w:rsidR="00CE6147" w:rsidRDefault="001514DF">
    <w:pPr>
      <w:pStyle w:val="Footer"/>
    </w:pPr>
    <w:r>
      <w:t>SPEC-12281-RevA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8112" w14:textId="77777777" w:rsidR="009035F3" w:rsidRDefault="009035F3" w:rsidP="00706A1A">
      <w:r>
        <w:separator/>
      </w:r>
    </w:p>
  </w:footnote>
  <w:footnote w:type="continuationSeparator" w:id="0">
    <w:p w14:paraId="3398B5E6" w14:textId="77777777" w:rsidR="009035F3" w:rsidRDefault="009035F3" w:rsidP="0070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AD8E" w14:textId="17B5987E" w:rsidR="00CE6147" w:rsidRDefault="00CE6147" w:rsidP="006608DA">
    <w:pPr>
      <w:pStyle w:val="Header"/>
      <w:tabs>
        <w:tab w:val="clear" w:pos="4680"/>
        <w:tab w:val="center" w:pos="4320"/>
      </w:tabs>
    </w:pPr>
    <w:r>
      <w:t>Victaulic Fire Protection</w:t>
    </w:r>
    <w:r>
      <w:tab/>
    </w:r>
    <w:r>
      <w:tab/>
    </w:r>
    <w:r w:rsidR="006608DA" w:rsidRPr="006608DA">
      <w:t xml:space="preserve">Victaulic Vortex™ </w:t>
    </w:r>
    <w:r w:rsidR="004C1A42">
      <w:t>5</w:t>
    </w:r>
    <w:r w:rsidR="006608DA" w:rsidRPr="006608DA">
      <w:t>00 Fire Suppression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A8D"/>
    <w:multiLevelType w:val="multilevel"/>
    <w:tmpl w:val="DE70FA72"/>
    <w:lvl w:ilvl="0">
      <w:start w:val="1"/>
      <w:numFmt w:val="decimal"/>
      <w:lvlRestart w:val="0"/>
      <w:pStyle w:val="EMList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67"/>
        </w:tabs>
        <w:ind w:left="1267" w:hanging="360"/>
      </w:pPr>
      <w:rPr>
        <w:rFonts w:hint="default"/>
      </w:rPr>
    </w:lvl>
    <w:lvl w:ilvl="3">
      <w:start w:val="1"/>
      <w:numFmt w:val="lowerLetter"/>
      <w:lvlText w:val="%4)"/>
      <w:lvlJc w:val="left"/>
      <w:pPr>
        <w:tabs>
          <w:tab w:val="num" w:pos="2448"/>
        </w:tabs>
        <w:ind w:left="2448"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600"/>
        </w:tabs>
        <w:ind w:left="36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81B4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B06CB1"/>
    <w:multiLevelType w:val="hybridMultilevel"/>
    <w:tmpl w:val="08F04C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CCD1615"/>
    <w:multiLevelType w:val="hybridMultilevel"/>
    <w:tmpl w:val="C540AC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A"/>
    <w:rsid w:val="00014A57"/>
    <w:rsid w:val="00023D9F"/>
    <w:rsid w:val="00076A9C"/>
    <w:rsid w:val="000A4F59"/>
    <w:rsid w:val="000B0DF3"/>
    <w:rsid w:val="000C5D8A"/>
    <w:rsid w:val="000D2732"/>
    <w:rsid w:val="000D2AFA"/>
    <w:rsid w:val="000F520E"/>
    <w:rsid w:val="00123376"/>
    <w:rsid w:val="00146817"/>
    <w:rsid w:val="001514DF"/>
    <w:rsid w:val="00183FBB"/>
    <w:rsid w:val="00194F60"/>
    <w:rsid w:val="001978C0"/>
    <w:rsid w:val="001C13D4"/>
    <w:rsid w:val="001F2E8B"/>
    <w:rsid w:val="00220AED"/>
    <w:rsid w:val="00241506"/>
    <w:rsid w:val="00254815"/>
    <w:rsid w:val="002569EA"/>
    <w:rsid w:val="002648F1"/>
    <w:rsid w:val="002843EE"/>
    <w:rsid w:val="0028577A"/>
    <w:rsid w:val="002A2C74"/>
    <w:rsid w:val="002C6588"/>
    <w:rsid w:val="0035285F"/>
    <w:rsid w:val="003537EF"/>
    <w:rsid w:val="00357570"/>
    <w:rsid w:val="00363C62"/>
    <w:rsid w:val="00377AF2"/>
    <w:rsid w:val="003869FF"/>
    <w:rsid w:val="00393135"/>
    <w:rsid w:val="003A0F07"/>
    <w:rsid w:val="003E7674"/>
    <w:rsid w:val="004165CD"/>
    <w:rsid w:val="004240A5"/>
    <w:rsid w:val="004627D9"/>
    <w:rsid w:val="004676C4"/>
    <w:rsid w:val="004908E9"/>
    <w:rsid w:val="004A59CE"/>
    <w:rsid w:val="004C1A42"/>
    <w:rsid w:val="004C1C16"/>
    <w:rsid w:val="004C700E"/>
    <w:rsid w:val="004D45C5"/>
    <w:rsid w:val="004D66B5"/>
    <w:rsid w:val="004F74CC"/>
    <w:rsid w:val="0053706E"/>
    <w:rsid w:val="00547932"/>
    <w:rsid w:val="0059005E"/>
    <w:rsid w:val="00590A21"/>
    <w:rsid w:val="005A156E"/>
    <w:rsid w:val="005C36E2"/>
    <w:rsid w:val="005D31A3"/>
    <w:rsid w:val="00600223"/>
    <w:rsid w:val="006053CB"/>
    <w:rsid w:val="00622726"/>
    <w:rsid w:val="00644B8F"/>
    <w:rsid w:val="006608DA"/>
    <w:rsid w:val="006675D0"/>
    <w:rsid w:val="006740C2"/>
    <w:rsid w:val="00674488"/>
    <w:rsid w:val="00683FFE"/>
    <w:rsid w:val="00690A7E"/>
    <w:rsid w:val="00690CD5"/>
    <w:rsid w:val="006A1CC3"/>
    <w:rsid w:val="006C4D86"/>
    <w:rsid w:val="006D2886"/>
    <w:rsid w:val="006F3349"/>
    <w:rsid w:val="00706A1A"/>
    <w:rsid w:val="00735841"/>
    <w:rsid w:val="00736FD6"/>
    <w:rsid w:val="00744BD3"/>
    <w:rsid w:val="00760AAA"/>
    <w:rsid w:val="00770358"/>
    <w:rsid w:val="00773998"/>
    <w:rsid w:val="00774D3F"/>
    <w:rsid w:val="00781826"/>
    <w:rsid w:val="007D0A30"/>
    <w:rsid w:val="007E451F"/>
    <w:rsid w:val="0081288B"/>
    <w:rsid w:val="008171D3"/>
    <w:rsid w:val="00827D0C"/>
    <w:rsid w:val="008425DF"/>
    <w:rsid w:val="008562F8"/>
    <w:rsid w:val="00856DD9"/>
    <w:rsid w:val="0086629D"/>
    <w:rsid w:val="008A06B2"/>
    <w:rsid w:val="008A2918"/>
    <w:rsid w:val="008A7B47"/>
    <w:rsid w:val="008B7F6C"/>
    <w:rsid w:val="008F0B5E"/>
    <w:rsid w:val="009035F3"/>
    <w:rsid w:val="0091258F"/>
    <w:rsid w:val="00916D80"/>
    <w:rsid w:val="00932FCC"/>
    <w:rsid w:val="00934A69"/>
    <w:rsid w:val="00934E37"/>
    <w:rsid w:val="00952FA7"/>
    <w:rsid w:val="00956F7A"/>
    <w:rsid w:val="009650C7"/>
    <w:rsid w:val="00973B40"/>
    <w:rsid w:val="009926EC"/>
    <w:rsid w:val="009A0ACF"/>
    <w:rsid w:val="009B57C9"/>
    <w:rsid w:val="009C3DB4"/>
    <w:rsid w:val="009C3F74"/>
    <w:rsid w:val="009E32C3"/>
    <w:rsid w:val="009E47F8"/>
    <w:rsid w:val="009E7F57"/>
    <w:rsid w:val="009F08D6"/>
    <w:rsid w:val="009F5948"/>
    <w:rsid w:val="00A079F7"/>
    <w:rsid w:val="00A07A8A"/>
    <w:rsid w:val="00A449F3"/>
    <w:rsid w:val="00A455EB"/>
    <w:rsid w:val="00A46CB3"/>
    <w:rsid w:val="00A538C8"/>
    <w:rsid w:val="00A5605D"/>
    <w:rsid w:val="00A830D6"/>
    <w:rsid w:val="00AB0DF8"/>
    <w:rsid w:val="00AD0246"/>
    <w:rsid w:val="00AE52F9"/>
    <w:rsid w:val="00AF1D4C"/>
    <w:rsid w:val="00AF3F8D"/>
    <w:rsid w:val="00B13507"/>
    <w:rsid w:val="00B234CB"/>
    <w:rsid w:val="00B260BF"/>
    <w:rsid w:val="00B315E3"/>
    <w:rsid w:val="00B74BF0"/>
    <w:rsid w:val="00B80E10"/>
    <w:rsid w:val="00B8587D"/>
    <w:rsid w:val="00B87840"/>
    <w:rsid w:val="00B91506"/>
    <w:rsid w:val="00BD48A1"/>
    <w:rsid w:val="00C00C0A"/>
    <w:rsid w:val="00C129AC"/>
    <w:rsid w:val="00C328BE"/>
    <w:rsid w:val="00C426FD"/>
    <w:rsid w:val="00CA590E"/>
    <w:rsid w:val="00CB23F3"/>
    <w:rsid w:val="00CD0587"/>
    <w:rsid w:val="00CE3C87"/>
    <w:rsid w:val="00CE6147"/>
    <w:rsid w:val="00CF0D9C"/>
    <w:rsid w:val="00D12EE2"/>
    <w:rsid w:val="00D13341"/>
    <w:rsid w:val="00D17C00"/>
    <w:rsid w:val="00D32E73"/>
    <w:rsid w:val="00D361D0"/>
    <w:rsid w:val="00D37712"/>
    <w:rsid w:val="00D42CA8"/>
    <w:rsid w:val="00D441CE"/>
    <w:rsid w:val="00D574F4"/>
    <w:rsid w:val="00D720CB"/>
    <w:rsid w:val="00DA1E1A"/>
    <w:rsid w:val="00DA2C05"/>
    <w:rsid w:val="00DE1161"/>
    <w:rsid w:val="00DE605B"/>
    <w:rsid w:val="00DF56DE"/>
    <w:rsid w:val="00E22E8F"/>
    <w:rsid w:val="00E62C60"/>
    <w:rsid w:val="00E7644D"/>
    <w:rsid w:val="00E92F4C"/>
    <w:rsid w:val="00F05C74"/>
    <w:rsid w:val="00F10BE4"/>
    <w:rsid w:val="00F22B42"/>
    <w:rsid w:val="00F56FC9"/>
    <w:rsid w:val="00F60D79"/>
    <w:rsid w:val="00FA035E"/>
    <w:rsid w:val="00FD2CA1"/>
    <w:rsid w:val="00FF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EF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D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C1A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A"/>
    <w:pPr>
      <w:tabs>
        <w:tab w:val="center" w:pos="4680"/>
        <w:tab w:val="right" w:pos="9360"/>
      </w:tabs>
    </w:pPr>
  </w:style>
  <w:style w:type="character" w:customStyle="1" w:styleId="HeaderChar">
    <w:name w:val="Header Char"/>
    <w:basedOn w:val="DefaultParagraphFont"/>
    <w:link w:val="Header"/>
    <w:uiPriority w:val="99"/>
    <w:rsid w:val="00706A1A"/>
  </w:style>
  <w:style w:type="paragraph" w:styleId="Footer">
    <w:name w:val="footer"/>
    <w:basedOn w:val="Normal"/>
    <w:link w:val="FooterChar"/>
    <w:uiPriority w:val="99"/>
    <w:unhideWhenUsed/>
    <w:rsid w:val="00706A1A"/>
    <w:pPr>
      <w:tabs>
        <w:tab w:val="center" w:pos="4680"/>
        <w:tab w:val="right" w:pos="9360"/>
      </w:tabs>
    </w:pPr>
  </w:style>
  <w:style w:type="character" w:customStyle="1" w:styleId="FooterChar">
    <w:name w:val="Footer Char"/>
    <w:basedOn w:val="DefaultParagraphFont"/>
    <w:link w:val="Footer"/>
    <w:uiPriority w:val="99"/>
    <w:rsid w:val="00706A1A"/>
  </w:style>
  <w:style w:type="paragraph" w:styleId="ListParagraph">
    <w:name w:val="List Paragraph"/>
    <w:basedOn w:val="Normal"/>
    <w:uiPriority w:val="34"/>
    <w:qFormat/>
    <w:rsid w:val="00706A1A"/>
    <w:pPr>
      <w:ind w:left="720"/>
      <w:contextualSpacing/>
    </w:pPr>
  </w:style>
  <w:style w:type="character" w:customStyle="1" w:styleId="Heading2Char">
    <w:name w:val="Heading 2 Char"/>
    <w:basedOn w:val="DefaultParagraphFont"/>
    <w:link w:val="Heading2"/>
    <w:rsid w:val="004C1A42"/>
    <w:rPr>
      <w:rFonts w:ascii="Arial" w:eastAsia="Times New Roman" w:hAnsi="Arial" w:cs="Arial"/>
      <w:b/>
      <w:bCs/>
      <w:i/>
      <w:iCs/>
      <w:sz w:val="28"/>
      <w:szCs w:val="28"/>
    </w:rPr>
  </w:style>
  <w:style w:type="paragraph" w:customStyle="1" w:styleId="EMList1">
    <w:name w:val="EM List 1"/>
    <w:basedOn w:val="Normal"/>
    <w:rsid w:val="004C1A42"/>
    <w:pPr>
      <w:numPr>
        <w:numId w:val="1"/>
      </w:numPr>
      <w:spacing w:before="80" w:after="60"/>
    </w:pPr>
    <w:rPr>
      <w:sz w:val="22"/>
      <w:szCs w:val="22"/>
      <w:lang w:eastAsia="ja-JP"/>
    </w:rPr>
  </w:style>
  <w:style w:type="paragraph" w:styleId="Revision">
    <w:name w:val="Revision"/>
    <w:hidden/>
    <w:uiPriority w:val="99"/>
    <w:semiHidden/>
    <w:rsid w:val="00BD48A1"/>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A4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9902">
      <w:bodyDiv w:val="1"/>
      <w:marLeft w:val="0"/>
      <w:marRight w:val="0"/>
      <w:marTop w:val="0"/>
      <w:marBottom w:val="0"/>
      <w:divBdr>
        <w:top w:val="none" w:sz="0" w:space="0" w:color="auto"/>
        <w:left w:val="none" w:sz="0" w:space="0" w:color="auto"/>
        <w:bottom w:val="none" w:sz="0" w:space="0" w:color="auto"/>
        <w:right w:val="none" w:sz="0" w:space="0" w:color="auto"/>
      </w:divBdr>
    </w:div>
    <w:div w:id="6881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2022-07-14T18:59:00Z</dcterms:created>
  <dcterms:modified xsi:type="dcterms:W3CDTF">2022-09-14T14:20:00Z</dcterms:modified>
</cp:coreProperties>
</file>